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6BFB" w14:textId="77777777" w:rsidR="00106195" w:rsidRPr="00650AD1" w:rsidRDefault="00106195" w:rsidP="00946CAE">
      <w:pPr>
        <w:spacing w:line="276" w:lineRule="auto"/>
        <w:jc w:val="center"/>
        <w:rPr>
          <w:rFonts w:ascii="Arial" w:hAnsi="Arial" w:cs="Arial"/>
          <w:b/>
          <w:sz w:val="28"/>
          <w:szCs w:val="28"/>
          <w:lang w:val="en-GB"/>
        </w:rPr>
      </w:pPr>
      <w:r w:rsidRPr="00650AD1">
        <w:rPr>
          <w:rFonts w:ascii="Arial" w:hAnsi="Arial" w:cs="Arial"/>
          <w:b/>
          <w:sz w:val="28"/>
          <w:szCs w:val="28"/>
          <w:lang w:val="en-GB"/>
        </w:rPr>
        <w:t>CALL FOR APPLICATIONS</w:t>
      </w:r>
    </w:p>
    <w:p w14:paraId="22EC556D" w14:textId="77777777" w:rsidR="00106195" w:rsidRPr="00650AD1" w:rsidRDefault="00106195" w:rsidP="00946CAE">
      <w:pPr>
        <w:spacing w:line="276" w:lineRule="auto"/>
        <w:jc w:val="center"/>
        <w:rPr>
          <w:rFonts w:ascii="Arial" w:hAnsi="Arial" w:cs="Arial"/>
          <w:sz w:val="28"/>
          <w:szCs w:val="28"/>
          <w:lang w:val="en-GB"/>
        </w:rPr>
      </w:pPr>
    </w:p>
    <w:p w14:paraId="5F95F6E2" w14:textId="436A9DA8" w:rsidR="009A67D5" w:rsidRPr="00650AD1" w:rsidRDefault="00621769" w:rsidP="00946CAE">
      <w:pPr>
        <w:spacing w:line="276" w:lineRule="auto"/>
        <w:jc w:val="center"/>
        <w:rPr>
          <w:rFonts w:ascii="Arial" w:hAnsi="Arial" w:cs="Arial"/>
          <w:b/>
          <w:sz w:val="28"/>
          <w:szCs w:val="28"/>
          <w:lang w:val="en-GB"/>
        </w:rPr>
      </w:pPr>
      <w:r w:rsidRPr="00650AD1">
        <w:rPr>
          <w:rFonts w:ascii="Arial" w:hAnsi="Arial" w:cs="Arial"/>
          <w:b/>
          <w:sz w:val="28"/>
          <w:szCs w:val="28"/>
          <w:lang w:val="en-GB"/>
        </w:rPr>
        <w:t>The</w:t>
      </w:r>
      <w:r w:rsidR="00106195" w:rsidRPr="00650AD1">
        <w:rPr>
          <w:rFonts w:ascii="Arial" w:hAnsi="Arial" w:cs="Arial"/>
          <w:b/>
          <w:sz w:val="28"/>
          <w:szCs w:val="28"/>
          <w:lang w:val="en-GB"/>
        </w:rPr>
        <w:t xml:space="preserve"> Faculty </w:t>
      </w:r>
      <w:r w:rsidRPr="00650AD1">
        <w:rPr>
          <w:rFonts w:ascii="Arial" w:hAnsi="Arial" w:cs="Arial"/>
          <w:b/>
          <w:sz w:val="28"/>
          <w:szCs w:val="28"/>
          <w:lang w:val="en-GB"/>
        </w:rPr>
        <w:t xml:space="preserve">of </w:t>
      </w:r>
      <w:r w:rsidR="00DC6CA8" w:rsidRPr="00650AD1">
        <w:rPr>
          <w:rFonts w:ascii="Arial" w:hAnsi="Arial" w:cs="Arial"/>
          <w:b/>
          <w:sz w:val="28"/>
          <w:szCs w:val="28"/>
          <w:lang w:val="en-GB"/>
        </w:rPr>
        <w:t>Business and Econimics</w:t>
      </w:r>
      <w:r w:rsidRPr="00650AD1">
        <w:rPr>
          <w:rFonts w:ascii="Arial" w:hAnsi="Arial" w:cs="Arial"/>
          <w:b/>
          <w:sz w:val="28"/>
          <w:szCs w:val="28"/>
          <w:lang w:val="en-GB"/>
        </w:rPr>
        <w:t xml:space="preserve"> </w:t>
      </w:r>
      <w:r w:rsidR="00106195" w:rsidRPr="00650AD1">
        <w:rPr>
          <w:rFonts w:ascii="Arial" w:hAnsi="Arial" w:cs="Arial"/>
          <w:b/>
          <w:sz w:val="28"/>
          <w:szCs w:val="28"/>
          <w:lang w:val="en-GB"/>
        </w:rPr>
        <w:t xml:space="preserve">of the University of Pécs calls for applications for participating in the Erasmus+ Student Mobility for </w:t>
      </w:r>
      <w:r w:rsidR="00A26036" w:rsidRPr="00650AD1">
        <w:rPr>
          <w:rFonts w:ascii="Arial" w:hAnsi="Arial" w:cs="Arial"/>
          <w:b/>
          <w:sz w:val="28"/>
          <w:szCs w:val="28"/>
          <w:lang w:val="en-GB"/>
        </w:rPr>
        <w:t>Traineeships</w:t>
      </w:r>
      <w:r w:rsidR="00106195" w:rsidRPr="00650AD1">
        <w:rPr>
          <w:rFonts w:ascii="Arial" w:hAnsi="Arial" w:cs="Arial"/>
          <w:b/>
          <w:sz w:val="28"/>
          <w:szCs w:val="28"/>
          <w:lang w:val="en-GB"/>
        </w:rPr>
        <w:t xml:space="preserve"> in </w:t>
      </w:r>
      <w:r w:rsidR="004F0897" w:rsidRPr="00650AD1">
        <w:rPr>
          <w:rFonts w:ascii="Arial" w:hAnsi="Arial" w:cs="Arial"/>
          <w:b/>
          <w:sz w:val="28"/>
          <w:szCs w:val="28"/>
          <w:lang w:val="en-GB"/>
        </w:rPr>
        <w:t xml:space="preserve">the </w:t>
      </w:r>
      <w:r w:rsidR="007316B0">
        <w:rPr>
          <w:rFonts w:ascii="Arial" w:hAnsi="Arial" w:cs="Arial"/>
          <w:b/>
          <w:sz w:val="28"/>
          <w:szCs w:val="28"/>
          <w:lang w:val="en-GB"/>
        </w:rPr>
        <w:t>Academic Year 2021/2022</w:t>
      </w:r>
    </w:p>
    <w:p w14:paraId="172D3676" w14:textId="77777777" w:rsidR="009A67D5" w:rsidRPr="00F64DE0" w:rsidRDefault="009A67D5" w:rsidP="00946CAE">
      <w:pPr>
        <w:spacing w:line="276" w:lineRule="auto"/>
        <w:jc w:val="both"/>
        <w:rPr>
          <w:rFonts w:ascii="Arial" w:hAnsi="Arial" w:cs="Arial"/>
          <w:b/>
          <w:lang w:val="en-GB"/>
        </w:rPr>
      </w:pPr>
    </w:p>
    <w:p w14:paraId="3C8F1819" w14:textId="77777777" w:rsidR="009A67D5" w:rsidRPr="00F64DE0" w:rsidRDefault="00F64DE0" w:rsidP="00946CAE">
      <w:pPr>
        <w:spacing w:line="276" w:lineRule="auto"/>
        <w:jc w:val="both"/>
        <w:rPr>
          <w:rFonts w:ascii="Arial" w:hAnsi="Arial" w:cs="Arial"/>
          <w:b/>
          <w:lang w:val="en-GB"/>
        </w:rPr>
      </w:pPr>
      <w:r w:rsidRPr="00F64DE0">
        <w:rPr>
          <w:rFonts w:ascii="Arial" w:hAnsi="Arial" w:cs="Arial"/>
          <w:b/>
          <w:lang w:val="en-GB"/>
        </w:rPr>
        <w:t>The aim o</w:t>
      </w:r>
      <w:r w:rsidR="00A26036" w:rsidRPr="00F64DE0">
        <w:rPr>
          <w:rFonts w:ascii="Arial" w:hAnsi="Arial" w:cs="Arial"/>
          <w:b/>
          <w:lang w:val="en-GB"/>
        </w:rPr>
        <w:t>f the call for applications</w:t>
      </w:r>
      <w:r w:rsidR="009A67D5" w:rsidRPr="00F64DE0">
        <w:rPr>
          <w:rFonts w:ascii="Arial" w:hAnsi="Arial" w:cs="Arial"/>
          <w:b/>
          <w:lang w:val="en-GB"/>
        </w:rPr>
        <w:t>:</w:t>
      </w:r>
    </w:p>
    <w:p w14:paraId="589C38A5" w14:textId="77777777" w:rsidR="009A67D5" w:rsidRPr="00F64DE0" w:rsidRDefault="00A26036" w:rsidP="00946CAE">
      <w:pPr>
        <w:spacing w:line="276" w:lineRule="auto"/>
        <w:jc w:val="both"/>
        <w:rPr>
          <w:rFonts w:ascii="Arial" w:hAnsi="Arial" w:cs="Arial"/>
          <w:lang w:val="en-GB"/>
        </w:rPr>
      </w:pPr>
      <w:r w:rsidRPr="00F64DE0">
        <w:rPr>
          <w:rFonts w:ascii="Arial" w:hAnsi="Arial" w:cs="Arial"/>
          <w:lang w:val="en-GB"/>
        </w:rPr>
        <w:t>Student mobility for traineeship is a period spent at an enterprise or an o</w:t>
      </w:r>
      <w:r w:rsidR="00F64DE0" w:rsidRPr="00F64DE0">
        <w:rPr>
          <w:rFonts w:ascii="Arial" w:hAnsi="Arial" w:cs="Arial"/>
          <w:lang w:val="en-GB"/>
        </w:rPr>
        <w:t>rganisation in another program</w:t>
      </w:r>
      <w:r w:rsidR="00F64DE0">
        <w:rPr>
          <w:rFonts w:ascii="Arial" w:hAnsi="Arial" w:cs="Arial"/>
          <w:lang w:val="en-GB"/>
        </w:rPr>
        <w:t>me</w:t>
      </w:r>
      <w:r w:rsidRPr="00F64DE0">
        <w:rPr>
          <w:rFonts w:ascii="Arial" w:hAnsi="Arial" w:cs="Arial"/>
          <w:lang w:val="en-GB"/>
        </w:rPr>
        <w:t xml:space="preserve"> country. The aim of the placement is to help students acquire competences which are relevant in the </w:t>
      </w:r>
      <w:r w:rsidR="0081798E" w:rsidRPr="00F64DE0">
        <w:rPr>
          <w:rFonts w:ascii="Arial" w:hAnsi="Arial" w:cs="Arial"/>
          <w:lang w:val="en-GB"/>
        </w:rPr>
        <w:t xml:space="preserve">EU-wide </w:t>
      </w:r>
      <w:r w:rsidRPr="00F64DE0">
        <w:rPr>
          <w:rFonts w:ascii="Arial" w:hAnsi="Arial" w:cs="Arial"/>
          <w:lang w:val="en-GB"/>
        </w:rPr>
        <w:t xml:space="preserve">labour market and to understand the </w:t>
      </w:r>
      <w:r w:rsidR="00830396" w:rsidRPr="00F64DE0">
        <w:rPr>
          <w:rFonts w:ascii="Arial" w:hAnsi="Arial" w:cs="Arial"/>
          <w:lang w:val="en-GB"/>
        </w:rPr>
        <w:t xml:space="preserve">economic and </w:t>
      </w:r>
      <w:r w:rsidRPr="00F64DE0">
        <w:rPr>
          <w:rFonts w:ascii="Arial" w:hAnsi="Arial" w:cs="Arial"/>
          <w:lang w:val="en-GB"/>
        </w:rPr>
        <w:t xml:space="preserve">social culture of the host country. The host enterprise may be a private or public organisation active in the field of the labour market or education, training or youth, except for National </w:t>
      </w:r>
      <w:r w:rsidR="007F60F3" w:rsidRPr="00F64DE0">
        <w:rPr>
          <w:rFonts w:ascii="Arial" w:hAnsi="Arial" w:cs="Arial"/>
          <w:lang w:val="en-GB"/>
        </w:rPr>
        <w:t xml:space="preserve">Agencies and EU </w:t>
      </w:r>
      <w:r w:rsidRPr="00F64DE0">
        <w:rPr>
          <w:rFonts w:ascii="Arial" w:hAnsi="Arial" w:cs="Arial"/>
          <w:lang w:val="en-GB"/>
        </w:rPr>
        <w:t>bodies</w:t>
      </w:r>
      <w:r w:rsidR="007F60F3" w:rsidRPr="00F64DE0">
        <w:rPr>
          <w:rFonts w:ascii="Arial" w:hAnsi="Arial" w:cs="Arial"/>
          <w:lang w:val="en-GB"/>
        </w:rPr>
        <w:t>.</w:t>
      </w:r>
    </w:p>
    <w:p w14:paraId="7C35E94E" w14:textId="77777777" w:rsidR="009A67D5" w:rsidRPr="00F64DE0" w:rsidRDefault="009A67D5" w:rsidP="00946CAE">
      <w:pPr>
        <w:spacing w:line="276" w:lineRule="auto"/>
        <w:jc w:val="both"/>
        <w:rPr>
          <w:rFonts w:ascii="Arial" w:hAnsi="Arial" w:cs="Arial"/>
          <w:b/>
          <w:lang w:val="en-GB"/>
        </w:rPr>
      </w:pPr>
    </w:p>
    <w:p w14:paraId="3B444D99" w14:textId="77777777" w:rsidR="009A67D5" w:rsidRPr="00F64DE0" w:rsidRDefault="000B00BF" w:rsidP="00946CAE">
      <w:pPr>
        <w:spacing w:line="276" w:lineRule="auto"/>
        <w:jc w:val="both"/>
        <w:rPr>
          <w:rFonts w:ascii="Arial" w:hAnsi="Arial" w:cs="Arial"/>
          <w:lang w:val="en-GB" w:eastAsia="en-US"/>
        </w:rPr>
      </w:pPr>
      <w:r w:rsidRPr="00F64DE0">
        <w:rPr>
          <w:rFonts w:ascii="Arial" w:hAnsi="Arial" w:cs="Arial"/>
          <w:lang w:val="en-GB"/>
        </w:rPr>
        <w:t>Within the framework of Erasmus+ Programme, successful applicants are given the opportunity to do</w:t>
      </w:r>
      <w:r w:rsidR="007418C1" w:rsidRPr="00F64DE0">
        <w:rPr>
          <w:rFonts w:ascii="Arial" w:hAnsi="Arial" w:cs="Arial"/>
          <w:lang w:val="en-GB"/>
        </w:rPr>
        <w:t xml:space="preserve"> traineeships at the universities, professional organisations and non-profit organisations</w:t>
      </w:r>
      <w:r w:rsidRPr="00F64DE0">
        <w:rPr>
          <w:rFonts w:ascii="Arial" w:hAnsi="Arial" w:cs="Arial"/>
          <w:lang w:val="en-GB"/>
        </w:rPr>
        <w:t xml:space="preserve"> </w:t>
      </w:r>
      <w:r w:rsidR="007418C1" w:rsidRPr="00F64DE0">
        <w:rPr>
          <w:rFonts w:ascii="Arial" w:hAnsi="Arial" w:cs="Arial"/>
          <w:lang w:val="en-GB"/>
        </w:rPr>
        <w:t xml:space="preserve">of the programme countries. The aim of the mobility can be studies relevant to the student’s major combined with </w:t>
      </w:r>
      <w:r w:rsidR="00830396" w:rsidRPr="00F64DE0">
        <w:rPr>
          <w:rFonts w:ascii="Arial" w:hAnsi="Arial" w:cs="Arial"/>
          <w:lang w:val="en-GB"/>
        </w:rPr>
        <w:t>serving traineeship</w:t>
      </w:r>
      <w:r w:rsidR="00FD4870" w:rsidRPr="00F64DE0">
        <w:rPr>
          <w:rFonts w:ascii="Arial" w:hAnsi="Arial" w:cs="Arial"/>
          <w:lang w:val="en-GB"/>
        </w:rPr>
        <w:t xml:space="preserve">. </w:t>
      </w:r>
      <w:r w:rsidR="00EA3921" w:rsidRPr="00F64DE0">
        <w:rPr>
          <w:rFonts w:ascii="Arial" w:hAnsi="Arial" w:cs="Arial"/>
          <w:lang w:val="en-GB"/>
        </w:rPr>
        <w:t>The mobility can only be realis</w:t>
      </w:r>
      <w:r w:rsidR="00FD4870" w:rsidRPr="00F64DE0">
        <w:rPr>
          <w:rFonts w:ascii="Arial" w:hAnsi="Arial" w:cs="Arial"/>
          <w:lang w:val="en-GB"/>
        </w:rPr>
        <w:t xml:space="preserve">ed if the sending institution accepts the </w:t>
      </w:r>
      <w:r w:rsidR="00830396" w:rsidRPr="00F64DE0">
        <w:rPr>
          <w:rFonts w:ascii="Arial" w:hAnsi="Arial" w:cs="Arial"/>
          <w:lang w:val="en-GB"/>
        </w:rPr>
        <w:t>traineeship</w:t>
      </w:r>
      <w:r w:rsidR="00FD4870" w:rsidRPr="00F64DE0">
        <w:rPr>
          <w:rFonts w:ascii="Arial" w:hAnsi="Arial" w:cs="Arial"/>
          <w:lang w:val="en-GB"/>
        </w:rPr>
        <w:t xml:space="preserve"> accomplished abroad and count them in the academic progress of the student (by granting UP credits) and/or issuing a Diploma Supplement.</w:t>
      </w:r>
    </w:p>
    <w:p w14:paraId="4661AE97" w14:textId="77777777" w:rsidR="009A67D5" w:rsidRPr="00F64DE0" w:rsidRDefault="009A67D5" w:rsidP="00946CAE">
      <w:pPr>
        <w:spacing w:line="276" w:lineRule="auto"/>
        <w:jc w:val="both"/>
        <w:rPr>
          <w:rFonts w:ascii="Arial" w:hAnsi="Arial" w:cs="Arial"/>
          <w:lang w:val="en-GB"/>
        </w:rPr>
      </w:pPr>
    </w:p>
    <w:p w14:paraId="2C739FB0" w14:textId="77777777" w:rsidR="00FD4870" w:rsidRPr="00F64DE0" w:rsidRDefault="00FD4870" w:rsidP="00946CAE">
      <w:pPr>
        <w:spacing w:line="276" w:lineRule="auto"/>
        <w:jc w:val="both"/>
        <w:rPr>
          <w:rFonts w:ascii="Arial" w:hAnsi="Arial" w:cs="Arial"/>
          <w:lang w:val="en-GB"/>
        </w:rPr>
      </w:pPr>
      <w:r w:rsidRPr="00F64DE0">
        <w:rPr>
          <w:rFonts w:ascii="Arial" w:hAnsi="Arial" w:cs="Arial"/>
          <w:lang w:val="en-GB"/>
        </w:rPr>
        <w:t>Students performing abroad within the framework of Erasmus+ Programme:</w:t>
      </w:r>
    </w:p>
    <w:p w14:paraId="6AC1EBB1" w14:textId="77777777" w:rsidR="009A67D5" w:rsidRPr="00F64DE0" w:rsidRDefault="00830396" w:rsidP="00586C79">
      <w:pPr>
        <w:numPr>
          <w:ilvl w:val="0"/>
          <w:numId w:val="1"/>
        </w:numPr>
        <w:autoSpaceDE w:val="0"/>
        <w:autoSpaceDN w:val="0"/>
        <w:spacing w:line="276" w:lineRule="auto"/>
        <w:jc w:val="both"/>
        <w:rPr>
          <w:rFonts w:ascii="Arial" w:hAnsi="Arial" w:cs="Arial"/>
          <w:lang w:val="en-GB"/>
        </w:rPr>
      </w:pPr>
      <w:r w:rsidRPr="00F64DE0">
        <w:rPr>
          <w:rFonts w:ascii="Arial" w:hAnsi="Arial" w:cs="Arial"/>
          <w:lang w:val="en-GB"/>
        </w:rPr>
        <w:t xml:space="preserve">enrol in the home institution, establish an active student status, pay </w:t>
      </w:r>
      <w:r w:rsidR="007D4AFA" w:rsidRPr="00F64DE0">
        <w:rPr>
          <w:rFonts w:ascii="Arial" w:hAnsi="Arial" w:cs="Arial"/>
          <w:lang w:val="en-GB"/>
        </w:rPr>
        <w:t>any possible</w:t>
      </w:r>
      <w:r w:rsidRPr="00F64DE0">
        <w:rPr>
          <w:rFonts w:ascii="Arial" w:hAnsi="Arial" w:cs="Arial"/>
          <w:lang w:val="en-GB"/>
        </w:rPr>
        <w:t xml:space="preserve"> tuition fee </w:t>
      </w:r>
      <w:r w:rsidR="007D4AFA" w:rsidRPr="00F64DE0">
        <w:rPr>
          <w:rFonts w:ascii="Arial" w:hAnsi="Arial" w:cs="Arial"/>
          <w:lang w:val="en-GB"/>
        </w:rPr>
        <w:t xml:space="preserve">that may be due to their home </w:t>
      </w:r>
      <w:r w:rsidR="004F0897" w:rsidRPr="00F64DE0">
        <w:rPr>
          <w:rFonts w:ascii="Arial" w:hAnsi="Arial" w:cs="Arial"/>
          <w:lang w:val="en-GB"/>
        </w:rPr>
        <w:t>institution and obtain their regular grant for the period of their stay abroad.</w:t>
      </w:r>
    </w:p>
    <w:p w14:paraId="2C7BCD74" w14:textId="77777777" w:rsidR="009A67D5" w:rsidRPr="00F64DE0" w:rsidRDefault="009A67D5" w:rsidP="00946CAE">
      <w:pPr>
        <w:spacing w:line="276" w:lineRule="auto"/>
        <w:jc w:val="both"/>
        <w:rPr>
          <w:rFonts w:ascii="Arial" w:hAnsi="Arial" w:cs="Arial"/>
          <w:lang w:val="en-GB"/>
        </w:rPr>
      </w:pPr>
    </w:p>
    <w:p w14:paraId="2485A10D" w14:textId="77777777" w:rsidR="009A67D5" w:rsidRPr="00F64DE0" w:rsidRDefault="006D1A11" w:rsidP="00946CAE">
      <w:pPr>
        <w:pStyle w:val="Listaszerbekezds"/>
        <w:spacing w:line="276" w:lineRule="auto"/>
        <w:ind w:left="0"/>
        <w:jc w:val="both"/>
        <w:rPr>
          <w:rFonts w:ascii="Arial" w:hAnsi="Arial" w:cs="Arial"/>
          <w:b/>
          <w:sz w:val="24"/>
          <w:szCs w:val="24"/>
          <w:lang w:val="en-GB"/>
        </w:rPr>
      </w:pPr>
      <w:r w:rsidRPr="00F64DE0">
        <w:rPr>
          <w:rFonts w:ascii="Arial" w:hAnsi="Arial" w:cs="Arial"/>
          <w:b/>
          <w:sz w:val="24"/>
          <w:szCs w:val="24"/>
          <w:lang w:val="en-GB"/>
        </w:rPr>
        <w:t>Eligible activities</w:t>
      </w:r>
    </w:p>
    <w:p w14:paraId="35803542" w14:textId="2DB1847B" w:rsidR="009A67D5" w:rsidRPr="00F64DE0" w:rsidRDefault="004F0897" w:rsidP="00586C79">
      <w:pPr>
        <w:pStyle w:val="Listaszerbekezds"/>
        <w:numPr>
          <w:ilvl w:val="0"/>
          <w:numId w:val="3"/>
        </w:numPr>
        <w:tabs>
          <w:tab w:val="num" w:pos="-993"/>
        </w:tabs>
        <w:spacing w:line="276" w:lineRule="auto"/>
        <w:contextualSpacing/>
        <w:jc w:val="both"/>
        <w:rPr>
          <w:rFonts w:ascii="Arial" w:hAnsi="Arial" w:cs="Arial"/>
          <w:sz w:val="24"/>
          <w:szCs w:val="24"/>
          <w:lang w:val="en-GB"/>
        </w:rPr>
      </w:pPr>
      <w:r w:rsidRPr="00F64DE0">
        <w:rPr>
          <w:rFonts w:ascii="Arial" w:hAnsi="Arial" w:cs="Arial"/>
          <w:sz w:val="24"/>
          <w:szCs w:val="24"/>
          <w:lang w:val="en-GB"/>
        </w:rPr>
        <w:t>student mobility for traineeship (2-6 months)</w:t>
      </w:r>
      <w:r w:rsidR="00F64DE0">
        <w:rPr>
          <w:rFonts w:ascii="Arial" w:hAnsi="Arial" w:cs="Arial"/>
          <w:sz w:val="24"/>
          <w:szCs w:val="24"/>
          <w:lang w:val="en-GB"/>
        </w:rPr>
        <w:t xml:space="preserve">; </w:t>
      </w:r>
      <w:r w:rsidR="00470C1A">
        <w:rPr>
          <w:rFonts w:ascii="Arial" w:hAnsi="Arial" w:cs="Arial"/>
          <w:sz w:val="24"/>
          <w:szCs w:val="24"/>
          <w:lang w:val="en-GB"/>
        </w:rPr>
        <w:t>The student may extend the mobility after six months but additional grant for the extended period depends on the available resources of the University</w:t>
      </w:r>
      <w:r w:rsidR="00F64DE0">
        <w:rPr>
          <w:rFonts w:ascii="Arial" w:hAnsi="Arial" w:cs="Arial"/>
          <w:sz w:val="24"/>
          <w:szCs w:val="24"/>
          <w:lang w:val="en-GB"/>
        </w:rPr>
        <w:t xml:space="preserve">. </w:t>
      </w:r>
    </w:p>
    <w:p w14:paraId="1287EE09" w14:textId="77777777" w:rsidR="009A67D5" w:rsidRPr="00F64DE0" w:rsidRDefault="009A67D5" w:rsidP="00946CAE">
      <w:pPr>
        <w:spacing w:line="276" w:lineRule="auto"/>
        <w:jc w:val="both"/>
        <w:rPr>
          <w:rFonts w:ascii="Arial" w:hAnsi="Arial" w:cs="Arial"/>
          <w:lang w:val="en-GB"/>
        </w:rPr>
      </w:pPr>
    </w:p>
    <w:p w14:paraId="03C38692" w14:textId="77777777" w:rsidR="009A67D5" w:rsidRPr="00F64DE0" w:rsidRDefault="006D1A11" w:rsidP="00946CAE">
      <w:pPr>
        <w:spacing w:line="276" w:lineRule="auto"/>
        <w:jc w:val="both"/>
        <w:rPr>
          <w:rFonts w:ascii="Arial" w:hAnsi="Arial" w:cs="Arial"/>
          <w:b/>
          <w:lang w:val="en-GB"/>
        </w:rPr>
      </w:pPr>
      <w:r w:rsidRPr="00F64DE0">
        <w:rPr>
          <w:rFonts w:ascii="Arial" w:hAnsi="Arial" w:cs="Arial"/>
          <w:b/>
          <w:lang w:val="en-GB"/>
        </w:rPr>
        <w:t>Who can apply?</w:t>
      </w:r>
    </w:p>
    <w:p w14:paraId="7F0E4476" w14:textId="77777777" w:rsidR="009A67D5" w:rsidRPr="00F64DE0" w:rsidRDefault="006D1A11" w:rsidP="00946CAE">
      <w:pPr>
        <w:spacing w:line="276" w:lineRule="auto"/>
        <w:jc w:val="both"/>
        <w:rPr>
          <w:rFonts w:ascii="Arial" w:hAnsi="Arial" w:cs="Arial"/>
          <w:lang w:val="en-GB"/>
        </w:rPr>
      </w:pPr>
      <w:r w:rsidRPr="00F64DE0">
        <w:rPr>
          <w:rFonts w:ascii="Arial" w:hAnsi="Arial" w:cs="Arial"/>
          <w:lang w:val="en-GB"/>
        </w:rPr>
        <w:t>The following students may apply:</w:t>
      </w:r>
    </w:p>
    <w:p w14:paraId="61655043" w14:textId="77777777" w:rsidR="009A67D5" w:rsidRPr="00F64DE0" w:rsidRDefault="00F11156" w:rsidP="00586C79">
      <w:pPr>
        <w:pStyle w:val="Listaszerbekezds"/>
        <w:numPr>
          <w:ilvl w:val="0"/>
          <w:numId w:val="2"/>
        </w:numPr>
        <w:spacing w:line="276" w:lineRule="auto"/>
        <w:contextualSpacing/>
        <w:jc w:val="both"/>
        <w:rPr>
          <w:rFonts w:ascii="Arial" w:hAnsi="Arial" w:cs="Arial"/>
          <w:sz w:val="24"/>
          <w:szCs w:val="24"/>
          <w:lang w:val="en-GB"/>
        </w:rPr>
      </w:pPr>
      <w:r w:rsidRPr="00F64DE0">
        <w:rPr>
          <w:rFonts w:ascii="Arial" w:hAnsi="Arial" w:cs="Arial"/>
          <w:sz w:val="24"/>
          <w:szCs w:val="24"/>
          <w:lang w:val="en-GB"/>
        </w:rPr>
        <w:t>the student must have Hungarian citizenship or must pursue studies aiming at obtaining a degree in the institution</w:t>
      </w:r>
      <w:r w:rsidR="00817896" w:rsidRPr="00F64DE0">
        <w:rPr>
          <w:rFonts w:ascii="Arial" w:hAnsi="Arial" w:cs="Arial"/>
          <w:sz w:val="24"/>
          <w:szCs w:val="24"/>
          <w:lang w:val="en-GB"/>
        </w:rPr>
        <w:t>;</w:t>
      </w:r>
    </w:p>
    <w:p w14:paraId="06C4FBAD" w14:textId="77777777" w:rsidR="0061050C" w:rsidRPr="00F64DE0" w:rsidRDefault="00276D48" w:rsidP="00586C79">
      <w:pPr>
        <w:pStyle w:val="Listaszerbekezds"/>
        <w:numPr>
          <w:ilvl w:val="0"/>
          <w:numId w:val="2"/>
        </w:numPr>
        <w:spacing w:line="276" w:lineRule="auto"/>
        <w:jc w:val="both"/>
        <w:rPr>
          <w:rFonts w:ascii="Arial" w:hAnsi="Arial" w:cs="Arial"/>
          <w:sz w:val="24"/>
          <w:lang w:val="en-GB"/>
        </w:rPr>
      </w:pPr>
      <w:r>
        <w:rPr>
          <w:rFonts w:ascii="Arial" w:hAnsi="Arial" w:cs="Arial"/>
          <w:sz w:val="24"/>
          <w:lang w:val="en-GB"/>
        </w:rPr>
        <w:t>the Student must have active student status at the UP in the semester of the mobility and must not obtain his or her degree during the mobility period;</w:t>
      </w:r>
    </w:p>
    <w:p w14:paraId="4DF7CD73" w14:textId="77777777" w:rsidR="009A67D5" w:rsidRPr="00F64DE0" w:rsidRDefault="00F11156" w:rsidP="00586C79">
      <w:pPr>
        <w:pStyle w:val="Listaszerbekezds"/>
        <w:numPr>
          <w:ilvl w:val="0"/>
          <w:numId w:val="2"/>
        </w:numPr>
        <w:spacing w:line="276" w:lineRule="auto"/>
        <w:contextualSpacing/>
        <w:jc w:val="both"/>
        <w:rPr>
          <w:rFonts w:ascii="Arial" w:hAnsi="Arial" w:cs="Arial"/>
          <w:sz w:val="24"/>
          <w:szCs w:val="24"/>
          <w:lang w:val="en-GB"/>
        </w:rPr>
      </w:pPr>
      <w:r w:rsidRPr="00F64DE0">
        <w:rPr>
          <w:rFonts w:ascii="Arial" w:hAnsi="Arial" w:cs="Arial"/>
          <w:sz w:val="24"/>
          <w:szCs w:val="24"/>
          <w:lang w:val="en-GB"/>
        </w:rPr>
        <w:t>newly graduated students can also participate in the year following their graduation (in this case they have to submit their application in the year of their graduation</w:t>
      </w:r>
      <w:r w:rsidR="009A67D5" w:rsidRPr="00F64DE0">
        <w:rPr>
          <w:rFonts w:ascii="Arial" w:hAnsi="Arial" w:cs="Arial"/>
          <w:sz w:val="24"/>
          <w:szCs w:val="24"/>
          <w:lang w:val="en-GB"/>
        </w:rPr>
        <w:t>)</w:t>
      </w:r>
      <w:r w:rsidR="00817896" w:rsidRPr="00F64DE0">
        <w:rPr>
          <w:rFonts w:ascii="Arial" w:hAnsi="Arial" w:cs="Arial"/>
          <w:sz w:val="24"/>
          <w:szCs w:val="24"/>
          <w:lang w:val="en-GB"/>
        </w:rPr>
        <w:t>;</w:t>
      </w:r>
    </w:p>
    <w:p w14:paraId="713BE0F0" w14:textId="77777777" w:rsidR="0022674D" w:rsidRDefault="00276D48" w:rsidP="0022674D">
      <w:pPr>
        <w:pStyle w:val="Listaszerbekezds"/>
        <w:numPr>
          <w:ilvl w:val="0"/>
          <w:numId w:val="2"/>
        </w:numPr>
        <w:spacing w:line="276" w:lineRule="auto"/>
        <w:contextualSpacing/>
        <w:jc w:val="both"/>
        <w:rPr>
          <w:rFonts w:ascii="Arial" w:hAnsi="Arial" w:cs="Arial"/>
          <w:sz w:val="24"/>
          <w:szCs w:val="24"/>
          <w:lang w:val="en-GB"/>
        </w:rPr>
      </w:pPr>
      <w:r w:rsidRPr="00253E9F">
        <w:rPr>
          <w:rFonts w:ascii="Arial" w:hAnsi="Arial" w:cs="Arial"/>
          <w:sz w:val="24"/>
          <w:szCs w:val="24"/>
          <w:lang w:val="en-GB"/>
        </w:rPr>
        <w:lastRenderedPageBreak/>
        <w:t>language skills of the students shall be assessed as expected by the European Commission (online assessment after selection and after arriving home)</w:t>
      </w:r>
      <w:r>
        <w:rPr>
          <w:rFonts w:ascii="Arial" w:hAnsi="Arial" w:cs="Arial"/>
          <w:sz w:val="24"/>
          <w:szCs w:val="24"/>
          <w:lang w:val="en-GB"/>
        </w:rPr>
        <w:t>.</w:t>
      </w:r>
    </w:p>
    <w:p w14:paraId="12F06971" w14:textId="2DE9CF5C" w:rsidR="0022674D" w:rsidRPr="0022674D" w:rsidRDefault="0022674D" w:rsidP="0022674D">
      <w:pPr>
        <w:spacing w:line="276" w:lineRule="auto"/>
        <w:contextualSpacing/>
        <w:jc w:val="both"/>
        <w:rPr>
          <w:rFonts w:ascii="Arial" w:hAnsi="Arial" w:cs="Arial"/>
          <w:szCs w:val="24"/>
          <w:lang w:val="en-GB"/>
        </w:rPr>
      </w:pPr>
    </w:p>
    <w:p w14:paraId="25C17638" w14:textId="21315D29" w:rsidR="0022674D" w:rsidRPr="0022674D" w:rsidRDefault="0022674D" w:rsidP="0022674D">
      <w:pPr>
        <w:spacing w:line="276" w:lineRule="auto"/>
        <w:contextualSpacing/>
        <w:jc w:val="both"/>
        <w:rPr>
          <w:rFonts w:ascii="Arial" w:hAnsi="Arial" w:cs="Arial"/>
          <w:szCs w:val="24"/>
          <w:lang w:val="en-GB"/>
        </w:rPr>
      </w:pPr>
      <w:r w:rsidRPr="0022674D">
        <w:rPr>
          <w:rFonts w:ascii="Arial" w:hAnsi="Arial" w:cs="Arial"/>
          <w:b/>
          <w:color w:val="000000"/>
          <w:lang w:val="en-GB"/>
        </w:rPr>
        <w:t>Requirements of submitting an application at the Faculty of Business and Economics of the UP:</w:t>
      </w:r>
    </w:p>
    <w:p w14:paraId="68F24B26"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requirements of the grant: the corrected credit index of the applicant’s last accomplished semester - in which he or she earned at least 15 credits - is at least half of the cumulate corrected credit index of the particular major. The grade of the BA degree can be applied to MSc students if they submit their application in their first semester.</w:t>
      </w:r>
    </w:p>
    <w:p w14:paraId="3239EE3C"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Content of the application:</w:t>
      </w:r>
    </w:p>
    <w:p w14:paraId="7691F37D" w14:textId="0FA9F15E" w:rsidR="00276D48" w:rsidRPr="00253E9F" w:rsidRDefault="00276D48" w:rsidP="00586C79">
      <w:pPr>
        <w:numPr>
          <w:ilvl w:val="1"/>
          <w:numId w:val="9"/>
        </w:numPr>
        <w:jc w:val="both"/>
        <w:rPr>
          <w:rFonts w:ascii="Arial" w:hAnsi="Arial" w:cs="Arial"/>
          <w:color w:val="000000"/>
          <w:lang w:val="en-GB"/>
        </w:rPr>
      </w:pPr>
      <w:r w:rsidRPr="00253E9F">
        <w:rPr>
          <w:rFonts w:ascii="Arial" w:hAnsi="Arial" w:cs="Arial"/>
          <w:color w:val="000000"/>
          <w:lang w:val="en-GB"/>
        </w:rPr>
        <w:t>Motivational letter (The form in Appendix No 2. of the Erasmus+ Regulation of the FBE, 2018 must be used!)</w:t>
      </w:r>
    </w:p>
    <w:p w14:paraId="5836E923" w14:textId="77777777" w:rsidR="00276D48" w:rsidRPr="00253E9F" w:rsidRDefault="00276D48" w:rsidP="00586C79">
      <w:pPr>
        <w:numPr>
          <w:ilvl w:val="1"/>
          <w:numId w:val="9"/>
        </w:numPr>
        <w:jc w:val="both"/>
        <w:rPr>
          <w:rFonts w:ascii="Arial" w:hAnsi="Arial" w:cs="Arial"/>
          <w:color w:val="000000"/>
          <w:lang w:val="en-GB"/>
        </w:rPr>
      </w:pPr>
      <w:r w:rsidRPr="00253E9F">
        <w:rPr>
          <w:rFonts w:ascii="Arial" w:hAnsi="Arial" w:cs="Arial"/>
          <w:color w:val="000000"/>
          <w:lang w:val="en-GB"/>
        </w:rPr>
        <w:t>Documents to upload:</w:t>
      </w:r>
    </w:p>
    <w:p w14:paraId="4D9ABEC1" w14:textId="1C80EC40"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 xml:space="preserve">copies of </w:t>
      </w:r>
      <w:r w:rsidR="0018188F" w:rsidRPr="00253E9F">
        <w:rPr>
          <w:rFonts w:ascii="Arial" w:hAnsi="Arial" w:cs="Arial"/>
          <w:lang w:val="en-GB"/>
        </w:rPr>
        <w:t>language</w:t>
      </w:r>
      <w:r w:rsidRPr="00253E9F">
        <w:rPr>
          <w:rFonts w:ascii="Arial" w:hAnsi="Arial" w:cs="Arial"/>
          <w:lang w:val="en-GB"/>
        </w:rPr>
        <w:t xml:space="preserve"> exam certificates,</w:t>
      </w:r>
    </w:p>
    <w:p w14:paraId="4494C030" w14:textId="77777777"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corrected credit index of the last accomplished semester attested by the Registrar’s Office,</w:t>
      </w:r>
    </w:p>
    <w:p w14:paraId="199DD59F" w14:textId="7996222C"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 xml:space="preserve">documents </w:t>
      </w:r>
      <w:r w:rsidR="0018188F" w:rsidRPr="00253E9F">
        <w:rPr>
          <w:rFonts w:ascii="Arial" w:hAnsi="Arial" w:cs="Arial"/>
          <w:lang w:val="en-GB"/>
        </w:rPr>
        <w:t>certifying</w:t>
      </w:r>
      <w:r w:rsidRPr="00253E9F">
        <w:rPr>
          <w:rFonts w:ascii="Arial" w:hAnsi="Arial" w:cs="Arial"/>
          <w:lang w:val="en-GB"/>
        </w:rPr>
        <w:t xml:space="preserve"> activities in public life and/or research,</w:t>
      </w:r>
    </w:p>
    <w:p w14:paraId="5718E29E" w14:textId="77777777" w:rsidR="00276D48" w:rsidRPr="00276D48" w:rsidRDefault="00276D48" w:rsidP="00586C79">
      <w:pPr>
        <w:numPr>
          <w:ilvl w:val="2"/>
          <w:numId w:val="9"/>
        </w:numPr>
        <w:jc w:val="both"/>
        <w:rPr>
          <w:rFonts w:ascii="Arial" w:hAnsi="Arial" w:cs="Arial"/>
          <w:color w:val="000000"/>
          <w:lang w:val="en-GB"/>
        </w:rPr>
      </w:pPr>
      <w:r w:rsidRPr="00253E9F">
        <w:rPr>
          <w:rFonts w:ascii="Arial" w:hAnsi="Arial" w:cs="Arial"/>
          <w:lang w:val="en-GB"/>
        </w:rPr>
        <w:t>statement on the active participation in the promotion of the programme (see Appendix No. 4.).</w:t>
      </w:r>
    </w:p>
    <w:p w14:paraId="70BAA787" w14:textId="0F5D2A1F" w:rsidR="00276D48" w:rsidRPr="00253E9F" w:rsidRDefault="00276D48" w:rsidP="00586C79">
      <w:pPr>
        <w:numPr>
          <w:ilvl w:val="2"/>
          <w:numId w:val="9"/>
        </w:numPr>
        <w:jc w:val="both"/>
        <w:rPr>
          <w:rFonts w:ascii="Arial" w:hAnsi="Arial" w:cs="Arial"/>
          <w:color w:val="000000"/>
          <w:lang w:val="en-GB"/>
        </w:rPr>
      </w:pPr>
      <w:r>
        <w:rPr>
          <w:rFonts w:ascii="Arial" w:hAnsi="Arial" w:cs="Arial"/>
          <w:color w:val="000000"/>
          <w:lang w:val="en-GB"/>
        </w:rPr>
        <w:t xml:space="preserve">Letter of Acceptance from the host </w:t>
      </w:r>
      <w:r w:rsidR="006A1E9C">
        <w:rPr>
          <w:rFonts w:ascii="Arial" w:hAnsi="Arial" w:cs="Arial"/>
          <w:color w:val="000000"/>
          <w:lang w:val="en-GB"/>
        </w:rPr>
        <w:t>institution</w:t>
      </w:r>
      <w:r>
        <w:rPr>
          <w:rFonts w:ascii="Arial" w:hAnsi="Arial" w:cs="Arial"/>
          <w:color w:val="000000"/>
          <w:lang w:val="en-GB"/>
        </w:rPr>
        <w:t xml:space="preserve"> which includes the most important professional goals and activities of the mobility period.</w:t>
      </w:r>
    </w:p>
    <w:p w14:paraId="43B9E7F8"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 xml:space="preserve">The student shall have a type C (complex) language exam certificate in the language </w:t>
      </w:r>
      <w:r>
        <w:rPr>
          <w:rFonts w:ascii="Arial" w:hAnsi="Arial" w:cs="Arial"/>
          <w:color w:val="000000"/>
          <w:lang w:val="en-GB"/>
        </w:rPr>
        <w:t>used at the</w:t>
      </w:r>
      <w:r w:rsidRPr="00253E9F">
        <w:rPr>
          <w:rFonts w:ascii="Arial" w:hAnsi="Arial" w:cs="Arial"/>
          <w:color w:val="000000"/>
          <w:lang w:val="en-GB"/>
        </w:rPr>
        <w:t xml:space="preserve"> host institution at least at intermediate level (B2) or a language exam certificate equival</w:t>
      </w:r>
      <w:r>
        <w:rPr>
          <w:rFonts w:ascii="Arial" w:hAnsi="Arial" w:cs="Arial"/>
          <w:color w:val="000000"/>
          <w:lang w:val="en-GB"/>
        </w:rPr>
        <w:t>ent to it.</w:t>
      </w:r>
      <w:r w:rsidRPr="00253E9F">
        <w:rPr>
          <w:rFonts w:ascii="Arial" w:hAnsi="Arial" w:cs="Arial"/>
          <w:color w:val="000000"/>
          <w:lang w:val="en-GB"/>
        </w:rPr>
        <w:t xml:space="preserve"> If the student fails to satisfy this criterion, a language interview shall decide whether he or she is eligible without any prejudice to his or her chance to be successful.</w:t>
      </w:r>
    </w:p>
    <w:p w14:paraId="4E04EDBC"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Reading and accepting the Erasmus+ Regulation of the Faculty.</w:t>
      </w:r>
    </w:p>
    <w:p w14:paraId="2E211A91" w14:textId="29AF4028"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 xml:space="preserve">Successful applicants may request an individual learning program by signing the Examination Agreement (Appendix No. 3. of the </w:t>
      </w:r>
      <w:r w:rsidR="003E5598" w:rsidRPr="00253E9F">
        <w:rPr>
          <w:rFonts w:ascii="Arial" w:hAnsi="Arial" w:cs="Arial"/>
          <w:color w:val="000000"/>
          <w:lang w:val="en-GB"/>
        </w:rPr>
        <w:t>Erasmus</w:t>
      </w:r>
      <w:r w:rsidRPr="00253E9F">
        <w:rPr>
          <w:rFonts w:ascii="Arial" w:hAnsi="Arial" w:cs="Arial"/>
          <w:color w:val="000000"/>
          <w:lang w:val="en-GB"/>
        </w:rPr>
        <w:t xml:space="preserve">+ Regulation of the Faculty). The student must obtain at least 20 ECTS during his or her stay at the host institution. UP FBE recognizes studies pursued at the host institution. The means of course recognition are set forth in the Erasmus+ Regulation of the Faculty. </w:t>
      </w:r>
    </w:p>
    <w:p w14:paraId="21D012EB" w14:textId="06C425C6" w:rsidR="00276D48" w:rsidRPr="00C207B3" w:rsidRDefault="00276D48" w:rsidP="00C207B3">
      <w:pPr>
        <w:numPr>
          <w:ilvl w:val="0"/>
          <w:numId w:val="9"/>
        </w:numPr>
        <w:autoSpaceDE w:val="0"/>
        <w:spacing w:after="120"/>
        <w:jc w:val="both"/>
        <w:rPr>
          <w:rFonts w:ascii="Arial" w:hAnsi="Arial" w:cs="Arial"/>
          <w:lang w:val="en-GB"/>
        </w:rPr>
      </w:pPr>
      <w:r w:rsidRPr="00253E9F">
        <w:rPr>
          <w:rFonts w:ascii="Arial" w:hAnsi="Arial" w:cs="Arial"/>
          <w:lang w:val="en-GB"/>
        </w:rPr>
        <w:t>The successful applicant must take the on-line language test OLS (</w:t>
      </w:r>
      <w:r w:rsidRPr="00253E9F">
        <w:rPr>
          <w:rStyle w:val="Kiemels"/>
          <w:rFonts w:ascii="Arial" w:hAnsi="Arial" w:cs="Arial"/>
          <w:lang w:val="en-GB"/>
        </w:rPr>
        <w:t>Online Linguistic Support</w:t>
      </w:r>
      <w:r w:rsidRPr="00253E9F">
        <w:rPr>
          <w:rStyle w:val="Kiemels"/>
          <w:rFonts w:ascii="Arial" w:hAnsi="Arial" w:cs="Arial"/>
          <w:i w:val="0"/>
          <w:lang w:val="en-GB"/>
        </w:rPr>
        <w:t>) if the medium of instruction is not his/her mother tongue but one of the following: English, German, Italian, Spanish, French, or Dutch (more detailed information after the favourable evaluation of the application).</w:t>
      </w:r>
    </w:p>
    <w:p w14:paraId="46727DC3" w14:textId="77777777" w:rsidR="00276D48" w:rsidRPr="00F64DE0" w:rsidRDefault="00276D48" w:rsidP="00946CAE">
      <w:pPr>
        <w:spacing w:line="276" w:lineRule="auto"/>
        <w:ind w:left="720"/>
        <w:jc w:val="both"/>
        <w:rPr>
          <w:rFonts w:ascii="Arial" w:hAnsi="Arial" w:cs="Arial"/>
          <w:lang w:val="en-GB"/>
        </w:rPr>
      </w:pPr>
    </w:p>
    <w:p w14:paraId="314F8B1E" w14:textId="77777777" w:rsidR="009E786C" w:rsidRPr="00F64DE0" w:rsidRDefault="009E786C" w:rsidP="00946CAE">
      <w:pPr>
        <w:autoSpaceDE w:val="0"/>
        <w:autoSpaceDN w:val="0"/>
        <w:spacing w:line="276" w:lineRule="auto"/>
        <w:jc w:val="both"/>
        <w:rPr>
          <w:rFonts w:ascii="Arial" w:hAnsi="Arial" w:cs="Arial"/>
          <w:lang w:val="en-GB"/>
        </w:rPr>
      </w:pPr>
      <w:r w:rsidRPr="00F64DE0">
        <w:rPr>
          <w:rFonts w:ascii="Arial" w:hAnsi="Arial" w:cs="Arial"/>
          <w:lang w:val="en-GB"/>
        </w:rPr>
        <w:t>According to the rules/regulations of the Erasmus+ Programme each student can obtain Erasmus status for a maximum of 12 months per training level (study abroad and traineesh</w:t>
      </w:r>
      <w:r w:rsidR="006044FB" w:rsidRPr="00F64DE0">
        <w:rPr>
          <w:rFonts w:ascii="Arial" w:hAnsi="Arial" w:cs="Arial"/>
          <w:lang w:val="en-GB"/>
        </w:rPr>
        <w:t>i</w:t>
      </w:r>
      <w:r w:rsidRPr="00F64DE0">
        <w:rPr>
          <w:rFonts w:ascii="Arial" w:hAnsi="Arial" w:cs="Arial"/>
          <w:lang w:val="en-GB"/>
        </w:rPr>
        <w:t xml:space="preserve">p in total), thus if the student has already participated in Erasmus study abroad and/or traineeship, but has not used up the 12-month Erasmus period, he/she can apply </w:t>
      </w:r>
      <w:r w:rsidRPr="00F64DE0">
        <w:rPr>
          <w:rFonts w:ascii="Arial" w:hAnsi="Arial" w:cs="Arial"/>
          <w:lang w:val="en-GB"/>
        </w:rPr>
        <w:lastRenderedPageBreak/>
        <w:t>again. Students pursuing master level or doctoral studies who already were Erasmus students at their former training level(s) can also apply.</w:t>
      </w:r>
    </w:p>
    <w:p w14:paraId="5398B93E" w14:textId="77777777" w:rsidR="009A67D5" w:rsidRPr="00F64DE0" w:rsidRDefault="009A67D5" w:rsidP="00946CAE">
      <w:pPr>
        <w:autoSpaceDE w:val="0"/>
        <w:autoSpaceDN w:val="0"/>
        <w:spacing w:line="276" w:lineRule="auto"/>
        <w:jc w:val="both"/>
        <w:rPr>
          <w:rFonts w:ascii="Arial" w:hAnsi="Arial" w:cs="Arial"/>
          <w:lang w:val="en-GB"/>
        </w:rPr>
      </w:pPr>
    </w:p>
    <w:p w14:paraId="4F2897C4" w14:textId="145DDE97" w:rsidR="00276D48" w:rsidRPr="00F64DE0" w:rsidRDefault="009E786C" w:rsidP="00C207B3">
      <w:pPr>
        <w:suppressAutoHyphens/>
        <w:spacing w:line="276" w:lineRule="auto"/>
        <w:jc w:val="both"/>
        <w:rPr>
          <w:rFonts w:ascii="Arial" w:hAnsi="Arial" w:cs="Arial"/>
          <w:lang w:val="en-GB"/>
        </w:rPr>
      </w:pPr>
      <w:r w:rsidRPr="00F64DE0">
        <w:rPr>
          <w:rFonts w:ascii="Arial" w:hAnsi="Arial" w:cs="Arial"/>
          <w:lang w:val="en-GB"/>
        </w:rPr>
        <w:t xml:space="preserve">The amount of the grant depends on the length of the period of traineeship (number of days) and on the host country. The following amounts of grant may presumably be awarded for </w:t>
      </w:r>
      <w:r w:rsidR="00787743" w:rsidRPr="00F64DE0">
        <w:rPr>
          <w:rFonts w:ascii="Arial" w:hAnsi="Arial" w:cs="Arial"/>
          <w:lang w:val="en-GB"/>
        </w:rPr>
        <w:t xml:space="preserve">the </w:t>
      </w:r>
      <w:r w:rsidR="00145B99" w:rsidRPr="00F64DE0">
        <w:rPr>
          <w:rFonts w:ascii="Arial" w:hAnsi="Arial" w:cs="Arial"/>
          <w:lang w:val="en-GB"/>
        </w:rPr>
        <w:t>acade</w:t>
      </w:r>
      <w:r w:rsidR="007316B0">
        <w:rPr>
          <w:rFonts w:ascii="Arial" w:hAnsi="Arial" w:cs="Arial"/>
          <w:lang w:val="en-GB"/>
        </w:rPr>
        <w:t>mic year 2021</w:t>
      </w:r>
      <w:r w:rsidR="007A5E40" w:rsidRPr="00F64DE0">
        <w:rPr>
          <w:rFonts w:ascii="Arial" w:hAnsi="Arial" w:cs="Arial"/>
          <w:lang w:val="en-GB"/>
        </w:rPr>
        <w:t>/</w:t>
      </w:r>
      <w:r w:rsidR="007316B0">
        <w:rPr>
          <w:rFonts w:ascii="Arial" w:hAnsi="Arial" w:cs="Arial"/>
          <w:lang w:val="en-GB"/>
        </w:rPr>
        <w:t>2022</w:t>
      </w:r>
      <w:r w:rsidRPr="00F64DE0">
        <w:rPr>
          <w:rFonts w:ascii="Arial" w:hAnsi="Arial" w:cs="Arial"/>
          <w:lang w:val="en-GB"/>
        </w:rPr>
        <w:t xml:space="preserve"> (1 month of mobility means 30 days).</w:t>
      </w:r>
    </w:p>
    <w:p w14:paraId="635313D1" w14:textId="77777777" w:rsidR="009A67D5" w:rsidRPr="00F64DE0" w:rsidRDefault="009A67D5" w:rsidP="00946CAE">
      <w:pPr>
        <w:autoSpaceDE w:val="0"/>
        <w:autoSpaceDN w:val="0"/>
        <w:spacing w:line="276" w:lineRule="auto"/>
        <w:jc w:val="both"/>
        <w:rPr>
          <w:rFonts w:ascii="Arial" w:hAnsi="Arial" w:cs="Arial"/>
          <w:lang w:val="en-GB"/>
        </w:rPr>
      </w:pPr>
    </w:p>
    <w:p w14:paraId="052C1C0F" w14:textId="77777777" w:rsidR="009A67D5" w:rsidRPr="00F64DE0" w:rsidRDefault="00787743" w:rsidP="00586C79">
      <w:pPr>
        <w:pStyle w:val="Listaszerbekezds"/>
        <w:numPr>
          <w:ilvl w:val="2"/>
          <w:numId w:val="4"/>
        </w:numPr>
        <w:tabs>
          <w:tab w:val="clear" w:pos="2320"/>
          <w:tab w:val="num" w:pos="-993"/>
        </w:tabs>
        <w:spacing w:line="276" w:lineRule="auto"/>
        <w:ind w:left="1276" w:hanging="567"/>
        <w:contextualSpacing/>
        <w:jc w:val="both"/>
        <w:rPr>
          <w:rFonts w:ascii="Arial" w:hAnsi="Arial" w:cs="Arial"/>
          <w:u w:val="single"/>
          <w:lang w:val="en-GB"/>
        </w:rPr>
      </w:pPr>
      <w:r w:rsidRPr="00F64DE0">
        <w:rPr>
          <w:rFonts w:ascii="Arial" w:hAnsi="Arial" w:cs="Arial"/>
          <w:u w:val="single"/>
          <w:lang w:val="en-GB"/>
        </w:rPr>
        <w:t>Grant rates</w:t>
      </w:r>
      <w:r w:rsidR="009A67D5" w:rsidRPr="00F64DE0">
        <w:rPr>
          <w:rFonts w:ascii="Arial" w:hAnsi="Arial" w:cs="Arial"/>
          <w:u w:val="single"/>
          <w:lang w:val="en-GB"/>
        </w:rPr>
        <w:t>:</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805"/>
        <w:gridCol w:w="2680"/>
      </w:tblGrid>
      <w:tr w:rsidR="00C1188C" w:rsidRPr="00C1188C" w14:paraId="5AEBE273" w14:textId="77777777" w:rsidTr="00C1188C">
        <w:trPr>
          <w:trHeight w:val="522"/>
          <w:jc w:val="center"/>
        </w:trPr>
        <w:tc>
          <w:tcPr>
            <w:tcW w:w="6805" w:type="dxa"/>
            <w:shd w:val="clear" w:color="auto" w:fill="auto"/>
            <w:tcMar>
              <w:top w:w="15" w:type="dxa"/>
              <w:left w:w="15" w:type="dxa"/>
              <w:bottom w:w="0" w:type="dxa"/>
              <w:right w:w="15" w:type="dxa"/>
            </w:tcMar>
            <w:hideMark/>
          </w:tcPr>
          <w:p w14:paraId="6B9C6279" w14:textId="77777777" w:rsidR="00C1188C" w:rsidRPr="00C1188C" w:rsidRDefault="00C1188C" w:rsidP="00960346">
            <w:pPr>
              <w:rPr>
                <w:rFonts w:ascii="Arial" w:hAnsi="Arial" w:cs="Arial"/>
              </w:rPr>
            </w:pPr>
            <w:r w:rsidRPr="00C1188C">
              <w:rPr>
                <w:rFonts w:ascii="Arial" w:hAnsi="Arial" w:cs="Arial"/>
              </w:rPr>
              <w:t> </w:t>
            </w:r>
          </w:p>
        </w:tc>
        <w:tc>
          <w:tcPr>
            <w:tcW w:w="2680" w:type="dxa"/>
            <w:shd w:val="clear" w:color="auto" w:fill="auto"/>
            <w:tcMar>
              <w:top w:w="15" w:type="dxa"/>
              <w:left w:w="15" w:type="dxa"/>
              <w:bottom w:w="0" w:type="dxa"/>
              <w:right w:w="15" w:type="dxa"/>
            </w:tcMar>
            <w:vAlign w:val="center"/>
            <w:hideMark/>
          </w:tcPr>
          <w:p w14:paraId="1B57997A" w14:textId="77777777" w:rsidR="00C1188C" w:rsidRPr="00C1188C" w:rsidRDefault="00C1188C" w:rsidP="00960346">
            <w:pPr>
              <w:jc w:val="center"/>
              <w:rPr>
                <w:rFonts w:ascii="Arial" w:hAnsi="Arial" w:cs="Arial"/>
              </w:rPr>
            </w:pPr>
            <w:r w:rsidRPr="00C1188C">
              <w:rPr>
                <w:rFonts w:ascii="Arial" w:hAnsi="Arial" w:cs="Arial"/>
              </w:rPr>
              <w:t>Mobility for Traineeship</w:t>
            </w:r>
          </w:p>
          <w:p w14:paraId="0AA79AD7" w14:textId="77777777" w:rsidR="00C1188C" w:rsidRPr="00C1188C" w:rsidRDefault="00C1188C" w:rsidP="00960346">
            <w:pPr>
              <w:jc w:val="center"/>
              <w:rPr>
                <w:rFonts w:ascii="Arial" w:hAnsi="Arial" w:cs="Arial"/>
              </w:rPr>
            </w:pPr>
          </w:p>
        </w:tc>
      </w:tr>
      <w:tr w:rsidR="00C1188C" w:rsidRPr="00C1188C" w14:paraId="12AE80DE" w14:textId="77777777" w:rsidTr="00C1188C">
        <w:trPr>
          <w:trHeight w:val="499"/>
          <w:jc w:val="center"/>
        </w:trPr>
        <w:tc>
          <w:tcPr>
            <w:tcW w:w="6805" w:type="dxa"/>
            <w:shd w:val="clear" w:color="auto" w:fill="auto"/>
            <w:tcMar>
              <w:top w:w="15" w:type="dxa"/>
              <w:left w:w="15" w:type="dxa"/>
              <w:bottom w:w="0" w:type="dxa"/>
              <w:right w:w="15" w:type="dxa"/>
            </w:tcMar>
            <w:vAlign w:val="center"/>
            <w:hideMark/>
          </w:tcPr>
          <w:p w14:paraId="265B4665" w14:textId="77777777" w:rsidR="00C1188C" w:rsidRPr="00C1188C" w:rsidRDefault="00C1188C" w:rsidP="00960346">
            <w:pPr>
              <w:jc w:val="center"/>
              <w:rPr>
                <w:rFonts w:ascii="Arial" w:hAnsi="Arial" w:cs="Arial"/>
                <w:b/>
                <w:bCs/>
              </w:rPr>
            </w:pPr>
            <w:r w:rsidRPr="00C1188C">
              <w:rPr>
                <w:rFonts w:ascii="Arial" w:hAnsi="Arial" w:cs="Arial"/>
                <w:b/>
                <w:bCs/>
                <w:lang w:val="en-GB"/>
              </w:rPr>
              <w:t>Countries with higher living costs</w:t>
            </w:r>
          </w:p>
          <w:p w14:paraId="16A86AC2" w14:textId="77777777" w:rsidR="00C1188C" w:rsidRPr="00C1188C" w:rsidRDefault="00C1188C" w:rsidP="00960346">
            <w:pPr>
              <w:rPr>
                <w:rFonts w:ascii="Arial" w:hAnsi="Arial" w:cs="Arial"/>
              </w:rPr>
            </w:pPr>
          </w:p>
        </w:tc>
        <w:tc>
          <w:tcPr>
            <w:tcW w:w="2680" w:type="dxa"/>
            <w:vMerge w:val="restart"/>
            <w:shd w:val="clear" w:color="auto" w:fill="auto"/>
            <w:tcMar>
              <w:top w:w="15" w:type="dxa"/>
              <w:left w:w="15" w:type="dxa"/>
              <w:bottom w:w="0" w:type="dxa"/>
              <w:right w:w="15" w:type="dxa"/>
            </w:tcMar>
            <w:vAlign w:val="center"/>
            <w:hideMark/>
          </w:tcPr>
          <w:p w14:paraId="6501D753" w14:textId="77777777" w:rsidR="00C1188C" w:rsidRPr="00C1188C" w:rsidRDefault="00C1188C" w:rsidP="00960346">
            <w:pPr>
              <w:jc w:val="center"/>
              <w:rPr>
                <w:rFonts w:ascii="Arial" w:hAnsi="Arial" w:cs="Arial"/>
              </w:rPr>
            </w:pPr>
            <w:r w:rsidRPr="00C1188C">
              <w:rPr>
                <w:rFonts w:ascii="Arial" w:hAnsi="Arial" w:cs="Arial"/>
                <w:b/>
                <w:bCs/>
              </w:rPr>
              <w:t>620 €</w:t>
            </w:r>
          </w:p>
        </w:tc>
      </w:tr>
      <w:tr w:rsidR="00C1188C" w:rsidRPr="00C1188C" w14:paraId="1BCFE955" w14:textId="77777777" w:rsidTr="00C1188C">
        <w:trPr>
          <w:trHeight w:val="1520"/>
          <w:jc w:val="center"/>
        </w:trPr>
        <w:tc>
          <w:tcPr>
            <w:tcW w:w="6805" w:type="dxa"/>
            <w:shd w:val="clear" w:color="auto" w:fill="auto"/>
            <w:tcMar>
              <w:top w:w="15" w:type="dxa"/>
              <w:left w:w="15" w:type="dxa"/>
              <w:bottom w:w="0" w:type="dxa"/>
              <w:right w:w="15" w:type="dxa"/>
            </w:tcMar>
            <w:vAlign w:val="center"/>
            <w:hideMark/>
          </w:tcPr>
          <w:p w14:paraId="4B9285D6" w14:textId="77777777" w:rsidR="00C1188C" w:rsidRPr="00C1188C" w:rsidRDefault="00C1188C" w:rsidP="00960346">
            <w:pPr>
              <w:spacing w:before="120" w:after="240"/>
              <w:rPr>
                <w:rFonts w:ascii="Arial" w:hAnsi="Arial" w:cs="Arial"/>
              </w:rPr>
            </w:pPr>
            <w:r w:rsidRPr="00C1188C">
              <w:rPr>
                <w:rFonts w:ascii="Arial" w:hAnsi="Arial" w:cs="Arial"/>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62BA2FFD" w14:textId="77777777" w:rsidR="00C1188C" w:rsidRPr="00C1188C" w:rsidRDefault="00C1188C" w:rsidP="00960346">
            <w:pPr>
              <w:rPr>
                <w:rFonts w:ascii="Arial" w:hAnsi="Arial" w:cs="Arial"/>
              </w:rPr>
            </w:pPr>
          </w:p>
        </w:tc>
      </w:tr>
      <w:tr w:rsidR="00C1188C" w:rsidRPr="00C1188C" w14:paraId="180B95A1" w14:textId="77777777" w:rsidTr="00C1188C">
        <w:trPr>
          <w:trHeight w:val="499"/>
          <w:jc w:val="center"/>
        </w:trPr>
        <w:tc>
          <w:tcPr>
            <w:tcW w:w="6805" w:type="dxa"/>
            <w:shd w:val="clear" w:color="auto" w:fill="auto"/>
            <w:tcMar>
              <w:top w:w="15" w:type="dxa"/>
              <w:left w:w="15" w:type="dxa"/>
              <w:bottom w:w="0" w:type="dxa"/>
              <w:right w:w="15" w:type="dxa"/>
            </w:tcMar>
            <w:vAlign w:val="center"/>
            <w:hideMark/>
          </w:tcPr>
          <w:p w14:paraId="1237355A" w14:textId="77777777" w:rsidR="00C1188C" w:rsidRPr="00C1188C" w:rsidRDefault="00C1188C" w:rsidP="00960346">
            <w:pPr>
              <w:jc w:val="center"/>
              <w:rPr>
                <w:rFonts w:ascii="Arial" w:hAnsi="Arial" w:cs="Arial"/>
                <w:b/>
                <w:bCs/>
              </w:rPr>
            </w:pPr>
            <w:r w:rsidRPr="00C1188C">
              <w:rPr>
                <w:rFonts w:ascii="Arial" w:hAnsi="Arial" w:cs="Arial"/>
                <w:b/>
                <w:bCs/>
                <w:lang w:val="en-GB"/>
              </w:rPr>
              <w:t>Countries with medium living costs</w:t>
            </w:r>
          </w:p>
          <w:p w14:paraId="6B067E82" w14:textId="77777777" w:rsidR="00C1188C" w:rsidRPr="00C1188C" w:rsidRDefault="00C1188C" w:rsidP="00960346">
            <w:pPr>
              <w:jc w:val="center"/>
              <w:rPr>
                <w:rFonts w:ascii="Arial" w:hAnsi="Arial" w:cs="Arial"/>
              </w:rPr>
            </w:pPr>
          </w:p>
        </w:tc>
        <w:tc>
          <w:tcPr>
            <w:tcW w:w="2680" w:type="dxa"/>
            <w:vMerge w:val="restart"/>
            <w:shd w:val="clear" w:color="auto" w:fill="auto"/>
            <w:tcMar>
              <w:top w:w="15" w:type="dxa"/>
              <w:left w:w="15" w:type="dxa"/>
              <w:bottom w:w="0" w:type="dxa"/>
              <w:right w:w="15" w:type="dxa"/>
            </w:tcMar>
            <w:vAlign w:val="center"/>
            <w:hideMark/>
          </w:tcPr>
          <w:p w14:paraId="183A84F6" w14:textId="77777777" w:rsidR="00C1188C" w:rsidRPr="00C1188C" w:rsidRDefault="00C1188C" w:rsidP="00960346">
            <w:pPr>
              <w:jc w:val="center"/>
              <w:rPr>
                <w:rFonts w:ascii="Arial" w:hAnsi="Arial" w:cs="Arial"/>
              </w:rPr>
            </w:pPr>
            <w:r w:rsidRPr="00C1188C">
              <w:rPr>
                <w:rFonts w:ascii="Arial" w:hAnsi="Arial" w:cs="Arial"/>
                <w:b/>
                <w:bCs/>
              </w:rPr>
              <w:t>570 €</w:t>
            </w:r>
          </w:p>
        </w:tc>
      </w:tr>
      <w:tr w:rsidR="00C1188C" w:rsidRPr="00C1188C" w14:paraId="11DF1C05" w14:textId="77777777" w:rsidTr="00C1188C">
        <w:trPr>
          <w:trHeight w:val="2018"/>
          <w:jc w:val="center"/>
        </w:trPr>
        <w:tc>
          <w:tcPr>
            <w:tcW w:w="6805" w:type="dxa"/>
            <w:shd w:val="clear" w:color="auto" w:fill="auto"/>
            <w:tcMar>
              <w:top w:w="15" w:type="dxa"/>
              <w:left w:w="15" w:type="dxa"/>
              <w:bottom w:w="0" w:type="dxa"/>
              <w:right w:w="15" w:type="dxa"/>
            </w:tcMar>
            <w:vAlign w:val="center"/>
            <w:hideMark/>
          </w:tcPr>
          <w:p w14:paraId="0F78072D" w14:textId="77777777" w:rsidR="00C1188C" w:rsidRPr="00C1188C" w:rsidRDefault="00C1188C" w:rsidP="00960346">
            <w:pPr>
              <w:jc w:val="center"/>
              <w:rPr>
                <w:rFonts w:ascii="Arial" w:hAnsi="Arial" w:cs="Arial"/>
              </w:rPr>
            </w:pPr>
            <w:r w:rsidRPr="00C1188C">
              <w:rPr>
                <w:rFonts w:ascii="Arial" w:hAnsi="Arial" w:cs="Arial"/>
              </w:rPr>
              <w:t>Bulgaria (BG), Czech Republic (CZ), Estonia (EE), Croatia (HR), Lithuania (LT), Latvia (LV), Poland (PL), Romania (RO), Serbia (RS), Slovenia (SI), Slovakia (SK) Macedonia (MK), Turkey (TR)</w:t>
            </w:r>
          </w:p>
          <w:p w14:paraId="0AB7F9FB" w14:textId="77777777" w:rsidR="00C1188C" w:rsidRPr="00C1188C" w:rsidRDefault="00C1188C" w:rsidP="00960346">
            <w:pPr>
              <w:rPr>
                <w:rFonts w:ascii="Arial" w:hAnsi="Arial" w:cs="Arial"/>
              </w:rPr>
            </w:pPr>
          </w:p>
        </w:tc>
        <w:tc>
          <w:tcPr>
            <w:tcW w:w="0" w:type="auto"/>
            <w:vMerge/>
            <w:shd w:val="clear" w:color="auto" w:fill="auto"/>
            <w:vAlign w:val="center"/>
            <w:hideMark/>
          </w:tcPr>
          <w:p w14:paraId="77EB1DB2" w14:textId="77777777" w:rsidR="00C1188C" w:rsidRPr="00C1188C" w:rsidRDefault="00C1188C" w:rsidP="00960346">
            <w:pPr>
              <w:rPr>
                <w:rFonts w:ascii="Arial" w:hAnsi="Arial" w:cs="Arial"/>
              </w:rPr>
            </w:pPr>
          </w:p>
        </w:tc>
      </w:tr>
    </w:tbl>
    <w:p w14:paraId="70C0DDD1" w14:textId="77777777" w:rsidR="009A67D5" w:rsidRPr="00F64DE0" w:rsidRDefault="009A67D5" w:rsidP="00946CAE">
      <w:pPr>
        <w:spacing w:line="276" w:lineRule="auto"/>
        <w:jc w:val="both"/>
        <w:rPr>
          <w:rFonts w:ascii="Arial" w:hAnsi="Arial" w:cs="Arial"/>
          <w:lang w:val="en-GB"/>
        </w:rPr>
      </w:pPr>
    </w:p>
    <w:p w14:paraId="320A8733" w14:textId="77777777" w:rsidR="00600DEB" w:rsidRPr="00F64DE0" w:rsidRDefault="00600DEB" w:rsidP="00946CAE">
      <w:pPr>
        <w:spacing w:line="276" w:lineRule="auto"/>
        <w:jc w:val="both"/>
        <w:rPr>
          <w:rFonts w:ascii="Arial" w:hAnsi="Arial" w:cs="Arial"/>
          <w:lang w:val="en-GB"/>
        </w:rPr>
      </w:pPr>
      <w:r w:rsidRPr="00F64DE0">
        <w:rPr>
          <w:rFonts w:ascii="Arial" w:hAnsi="Arial" w:cs="Arial"/>
          <w:lang w:val="en-GB"/>
        </w:rPr>
        <w:t>All applicants are reminded that the grant will not fully cover the costs and expenses of the travel and the stay abroad so additional sources are needed.</w:t>
      </w:r>
    </w:p>
    <w:p w14:paraId="42278FBD" w14:textId="1D3EFC7D" w:rsidR="00361FF4" w:rsidRPr="00F64DE0" w:rsidRDefault="00361FF4" w:rsidP="00946CAE">
      <w:pPr>
        <w:spacing w:line="276" w:lineRule="auto"/>
        <w:jc w:val="both"/>
        <w:rPr>
          <w:rFonts w:ascii="Arial" w:hAnsi="Arial" w:cs="Arial"/>
          <w:lang w:val="en-GB"/>
        </w:rPr>
      </w:pPr>
    </w:p>
    <w:p w14:paraId="02C21F34" w14:textId="77777777" w:rsidR="00600DEB" w:rsidRPr="00F64DE0" w:rsidRDefault="00600DEB" w:rsidP="00946CAE">
      <w:pPr>
        <w:spacing w:line="276" w:lineRule="auto"/>
        <w:jc w:val="both"/>
        <w:rPr>
          <w:rFonts w:ascii="Arial" w:hAnsi="Arial" w:cs="Arial"/>
          <w:b/>
          <w:szCs w:val="24"/>
          <w:lang w:val="en-GB"/>
        </w:rPr>
      </w:pPr>
      <w:r w:rsidRPr="00F64DE0">
        <w:rPr>
          <w:rFonts w:ascii="Arial" w:hAnsi="Arial" w:cs="Arial"/>
          <w:b/>
          <w:szCs w:val="24"/>
          <w:lang w:val="en-GB"/>
        </w:rPr>
        <w:t>Method and deadline for submitting the application:</w:t>
      </w:r>
    </w:p>
    <w:p w14:paraId="6C33C3B0" w14:textId="77777777" w:rsidR="00586C79" w:rsidRDefault="00746ED2" w:rsidP="00586C79">
      <w:pPr>
        <w:spacing w:line="276" w:lineRule="auto"/>
        <w:jc w:val="both"/>
        <w:rPr>
          <w:rFonts w:ascii="Arial" w:hAnsi="Arial" w:cs="Arial"/>
          <w:lang w:val="en-GB"/>
        </w:rPr>
      </w:pPr>
      <w:r w:rsidRPr="00F64DE0">
        <w:rPr>
          <w:rFonts w:ascii="Arial" w:hAnsi="Arial" w:cs="Arial"/>
          <w:lang w:val="en-GB"/>
        </w:rPr>
        <w:t xml:space="preserve">In line with Faculty regulations, applications have to be submitted </w:t>
      </w:r>
      <w:r w:rsidRPr="00F64DE0">
        <w:rPr>
          <w:rFonts w:ascii="Arial" w:hAnsi="Arial" w:cs="Arial"/>
          <w:b/>
          <w:lang w:val="en-GB"/>
        </w:rPr>
        <w:t xml:space="preserve">continuously </w:t>
      </w:r>
      <w:r w:rsidRPr="00F64DE0">
        <w:rPr>
          <w:rFonts w:ascii="Arial" w:hAnsi="Arial" w:cs="Arial"/>
          <w:lang w:val="en-GB"/>
        </w:rPr>
        <w:t xml:space="preserve">(but at least two months before the start of the mobility) online at </w:t>
      </w:r>
      <w:r w:rsidRPr="00F64DE0">
        <w:rPr>
          <w:rFonts w:ascii="Arial" w:hAnsi="Arial" w:cs="Arial"/>
          <w:b/>
          <w:lang w:val="en-GB"/>
        </w:rPr>
        <w:t>outgoing.pte.hu</w:t>
      </w:r>
      <w:r w:rsidRPr="00F64DE0">
        <w:rPr>
          <w:rFonts w:ascii="Arial" w:hAnsi="Arial" w:cs="Arial"/>
          <w:lang w:val="en-GB"/>
        </w:rPr>
        <w:t>.</w:t>
      </w:r>
      <w:r w:rsidR="00586C79">
        <w:rPr>
          <w:rFonts w:ascii="Arial" w:hAnsi="Arial" w:cs="Arial"/>
          <w:lang w:val="en-GB"/>
        </w:rPr>
        <w:t xml:space="preserve"> </w:t>
      </w:r>
      <w:r w:rsidR="00586C79" w:rsidRPr="00253E9F">
        <w:rPr>
          <w:rFonts w:ascii="Arial" w:hAnsi="Arial" w:cs="Arial"/>
          <w:lang w:val="en-GB"/>
        </w:rPr>
        <w:t>Applications which are incomplete, do not satisfy the conditions, illegible or submitted after the expiry of the deadline cannot be accepted.</w:t>
      </w:r>
    </w:p>
    <w:p w14:paraId="5EC5A947" w14:textId="77777777" w:rsidR="00361FF4" w:rsidRPr="00F64DE0" w:rsidRDefault="00361FF4" w:rsidP="00946CAE">
      <w:pPr>
        <w:spacing w:line="276" w:lineRule="auto"/>
        <w:jc w:val="both"/>
        <w:rPr>
          <w:rFonts w:ascii="Arial" w:hAnsi="Arial" w:cs="Arial"/>
          <w:szCs w:val="24"/>
          <w:lang w:val="en-GB"/>
        </w:rPr>
      </w:pPr>
      <w:r w:rsidRPr="00F64DE0">
        <w:rPr>
          <w:rFonts w:ascii="Arial" w:hAnsi="Arial" w:cs="Arial"/>
          <w:szCs w:val="24"/>
          <w:lang w:val="en-GB"/>
        </w:rPr>
        <w:t>Applications which are incomplete, do not satisfy the conditions, illegible or submitted after the expiry of the deadline cannot be accepted.</w:t>
      </w:r>
    </w:p>
    <w:p w14:paraId="5FFBE712" w14:textId="77777777" w:rsidR="00D940B6" w:rsidRPr="00F64DE0" w:rsidRDefault="00D940B6" w:rsidP="00946CAE">
      <w:pPr>
        <w:spacing w:line="276" w:lineRule="auto"/>
        <w:jc w:val="both"/>
        <w:rPr>
          <w:rFonts w:ascii="Arial" w:hAnsi="Arial" w:cs="Arial"/>
          <w:b/>
          <w:lang w:val="en-GB"/>
        </w:rPr>
      </w:pPr>
    </w:p>
    <w:p w14:paraId="5DDC82D7" w14:textId="77777777" w:rsidR="000F1F79" w:rsidRPr="00F64DE0" w:rsidRDefault="00CA0A06" w:rsidP="00946CAE">
      <w:pPr>
        <w:spacing w:line="276" w:lineRule="auto"/>
        <w:jc w:val="both"/>
        <w:rPr>
          <w:rFonts w:ascii="Arial" w:hAnsi="Arial" w:cs="Arial"/>
          <w:b/>
          <w:lang w:val="en-GB"/>
        </w:rPr>
      </w:pPr>
      <w:r w:rsidRPr="00F64DE0">
        <w:rPr>
          <w:rFonts w:ascii="Arial" w:hAnsi="Arial" w:cs="Arial"/>
          <w:b/>
          <w:lang w:val="en-GB"/>
        </w:rPr>
        <w:t>Evaluation of applications submitted:</w:t>
      </w:r>
    </w:p>
    <w:p w14:paraId="6F94621F" w14:textId="77777777" w:rsidR="000F1F79" w:rsidRPr="00F64DE0" w:rsidRDefault="00F26000" w:rsidP="00946CAE">
      <w:pPr>
        <w:spacing w:line="276" w:lineRule="auto"/>
        <w:jc w:val="both"/>
        <w:rPr>
          <w:rFonts w:ascii="Arial" w:hAnsi="Arial" w:cs="Arial"/>
          <w:lang w:val="en-GB"/>
        </w:rPr>
      </w:pPr>
      <w:r w:rsidRPr="00F64DE0">
        <w:rPr>
          <w:rFonts w:ascii="Arial" w:hAnsi="Arial" w:cs="Arial"/>
          <w:lang w:val="en-GB"/>
        </w:rPr>
        <w:t xml:space="preserve">Applications submitted are evaluated by a professional board, </w:t>
      </w:r>
      <w:r w:rsidR="00A171E0" w:rsidRPr="00F64DE0">
        <w:rPr>
          <w:rFonts w:ascii="Arial" w:hAnsi="Arial" w:cs="Arial"/>
          <w:lang w:val="en-GB"/>
        </w:rPr>
        <w:t xml:space="preserve">the </w:t>
      </w:r>
      <w:r w:rsidR="00586C79">
        <w:rPr>
          <w:rFonts w:ascii="Arial" w:hAnsi="Arial" w:cs="Arial"/>
          <w:lang w:val="en-GB"/>
        </w:rPr>
        <w:t>International Relations Committee</w:t>
      </w:r>
      <w:r w:rsidR="00EB1EB7" w:rsidRPr="00F64DE0">
        <w:rPr>
          <w:rFonts w:ascii="Arial" w:hAnsi="Arial" w:cs="Arial"/>
          <w:lang w:val="en-GB"/>
        </w:rPr>
        <w:t xml:space="preserve"> of the Faculty</w:t>
      </w:r>
      <w:r w:rsidR="00E26510" w:rsidRPr="00F64DE0">
        <w:rPr>
          <w:rFonts w:ascii="Arial" w:hAnsi="Arial" w:cs="Arial"/>
          <w:lang w:val="en-GB"/>
        </w:rPr>
        <w:t xml:space="preserve"> </w:t>
      </w:r>
      <w:r w:rsidRPr="00F64DE0">
        <w:rPr>
          <w:rFonts w:ascii="Arial" w:hAnsi="Arial" w:cs="Arial"/>
          <w:lang w:val="en-GB"/>
        </w:rPr>
        <w:t xml:space="preserve">formed by the Faculty. The evaluation criteria are stipulated in the </w:t>
      </w:r>
      <w:r w:rsidR="00586C79">
        <w:rPr>
          <w:rFonts w:ascii="Arial" w:hAnsi="Arial" w:cs="Arial"/>
          <w:lang w:val="en-GB"/>
        </w:rPr>
        <w:t>Erasmus+ Regulation of the Faculty</w:t>
      </w:r>
      <w:r w:rsidR="00346CCC" w:rsidRPr="00F64DE0">
        <w:rPr>
          <w:rFonts w:ascii="Arial" w:hAnsi="Arial" w:cs="Arial"/>
          <w:lang w:val="en-GB"/>
        </w:rPr>
        <w:t>.</w:t>
      </w:r>
    </w:p>
    <w:p w14:paraId="2A852E4F" w14:textId="77777777" w:rsidR="00361FF4" w:rsidRPr="00F64DE0" w:rsidRDefault="00361FF4" w:rsidP="00946CAE">
      <w:pPr>
        <w:spacing w:line="276" w:lineRule="auto"/>
        <w:jc w:val="both"/>
        <w:rPr>
          <w:rFonts w:ascii="Arial" w:hAnsi="Arial" w:cs="Arial"/>
          <w:sz w:val="22"/>
          <w:szCs w:val="22"/>
          <w:lang w:val="en-GB"/>
        </w:rPr>
      </w:pPr>
    </w:p>
    <w:p w14:paraId="524E47AB" w14:textId="77777777" w:rsidR="00361FF4" w:rsidRPr="00F64DE0" w:rsidRDefault="00361FF4" w:rsidP="00946CAE">
      <w:pPr>
        <w:spacing w:line="276" w:lineRule="auto"/>
        <w:jc w:val="both"/>
        <w:rPr>
          <w:rFonts w:ascii="Arial" w:hAnsi="Arial" w:cs="Arial"/>
          <w:b/>
          <w:sz w:val="22"/>
          <w:szCs w:val="22"/>
          <w:lang w:val="en-GB"/>
        </w:rPr>
      </w:pPr>
      <w:r w:rsidRPr="00F64DE0">
        <w:rPr>
          <w:rFonts w:ascii="Arial" w:hAnsi="Arial" w:cs="Arial"/>
          <w:b/>
          <w:sz w:val="22"/>
          <w:szCs w:val="22"/>
          <w:lang w:val="en-GB"/>
        </w:rPr>
        <w:t>Criteria for the evaluation of applications</w:t>
      </w:r>
    </w:p>
    <w:p w14:paraId="20204317" w14:textId="77777777" w:rsidR="00361FF4" w:rsidRPr="00F64DE0" w:rsidRDefault="00361FF4" w:rsidP="00946CAE">
      <w:pPr>
        <w:spacing w:line="276" w:lineRule="auto"/>
        <w:jc w:val="both"/>
        <w:rPr>
          <w:rFonts w:ascii="Arial" w:hAnsi="Arial" w:cs="Arial"/>
          <w:sz w:val="22"/>
          <w:szCs w:val="22"/>
          <w:lang w:val="en-GB"/>
        </w:rPr>
      </w:pPr>
    </w:p>
    <w:p w14:paraId="560C76D3" w14:textId="4721CACC" w:rsidR="006A1E9C" w:rsidRPr="006A1E9C" w:rsidRDefault="006A1E9C" w:rsidP="006A1E9C">
      <w:pPr>
        <w:pStyle w:val="Listaszerbekezds"/>
        <w:numPr>
          <w:ilvl w:val="0"/>
          <w:numId w:val="6"/>
        </w:numPr>
        <w:jc w:val="both"/>
        <w:rPr>
          <w:rFonts w:ascii="Arial" w:hAnsi="Arial" w:cs="Arial"/>
          <w:color w:val="000000"/>
          <w:lang w:val="en-GB"/>
        </w:rPr>
      </w:pPr>
      <w:r w:rsidRPr="006A1E9C">
        <w:rPr>
          <w:rFonts w:ascii="Arial" w:hAnsi="Arial" w:cs="Arial"/>
          <w:color w:val="000000"/>
          <w:lang w:val="en-GB"/>
        </w:rPr>
        <w:t>C</w:t>
      </w:r>
      <w:r w:rsidRPr="006A1E9C">
        <w:rPr>
          <w:rFonts w:ascii="Arial" w:hAnsi="Arial" w:cs="Arial"/>
          <w:lang w:val="en-GB"/>
        </w:rPr>
        <w:t>orrected credit index of the last accomplished semester.</w:t>
      </w:r>
    </w:p>
    <w:p w14:paraId="3737682D" w14:textId="7BBFBE53" w:rsidR="006A1E9C" w:rsidRDefault="006A1E9C" w:rsidP="006A1E9C">
      <w:pPr>
        <w:pStyle w:val="Listaszerbekezds"/>
        <w:numPr>
          <w:ilvl w:val="0"/>
          <w:numId w:val="6"/>
        </w:numPr>
        <w:jc w:val="both"/>
        <w:rPr>
          <w:rFonts w:ascii="Arial" w:hAnsi="Arial" w:cs="Arial"/>
          <w:color w:val="000000"/>
          <w:lang w:val="en-GB"/>
        </w:rPr>
      </w:pPr>
      <w:r w:rsidRPr="006A1E9C">
        <w:rPr>
          <w:rFonts w:ascii="Arial" w:hAnsi="Arial" w:cs="Arial"/>
          <w:color w:val="000000"/>
          <w:lang w:val="en-GB"/>
        </w:rPr>
        <w:t>Type and level of the submitted language exam certificate</w:t>
      </w:r>
      <w:r>
        <w:rPr>
          <w:rFonts w:ascii="Arial" w:hAnsi="Arial" w:cs="Arial"/>
          <w:color w:val="000000"/>
          <w:lang w:val="en-GB"/>
        </w:rPr>
        <w:t xml:space="preserve"> sufficient to undertake professional activities at the host institution</w:t>
      </w:r>
      <w:r w:rsidRPr="006A1E9C">
        <w:rPr>
          <w:rFonts w:ascii="Arial" w:hAnsi="Arial" w:cs="Arial"/>
          <w:color w:val="000000"/>
          <w:lang w:val="en-GB"/>
        </w:rPr>
        <w:t xml:space="preserve"> or the resu</w:t>
      </w:r>
      <w:r>
        <w:rPr>
          <w:rFonts w:ascii="Arial" w:hAnsi="Arial" w:cs="Arial"/>
          <w:color w:val="000000"/>
          <w:lang w:val="en-GB"/>
        </w:rPr>
        <w:t>lt of the hearing.</w:t>
      </w:r>
    </w:p>
    <w:p w14:paraId="05F56D11" w14:textId="6A8424CB" w:rsidR="006A1E9C" w:rsidRPr="006A1E9C" w:rsidRDefault="006A1E9C" w:rsidP="006A1E9C">
      <w:pPr>
        <w:pStyle w:val="Listaszerbekezds"/>
        <w:numPr>
          <w:ilvl w:val="0"/>
          <w:numId w:val="6"/>
        </w:numPr>
        <w:jc w:val="both"/>
        <w:rPr>
          <w:rFonts w:ascii="Arial" w:hAnsi="Arial" w:cs="Arial"/>
          <w:color w:val="000000"/>
          <w:lang w:val="en-GB"/>
        </w:rPr>
      </w:pPr>
      <w:r>
        <w:rPr>
          <w:rFonts w:ascii="Arial" w:hAnsi="Arial" w:cs="Arial"/>
          <w:color w:val="000000"/>
          <w:lang w:val="en-GB"/>
        </w:rPr>
        <w:t>The quality of the motivational letter and work plan; professional relevance of the Letter of Acceptance;</w:t>
      </w:r>
    </w:p>
    <w:p w14:paraId="63A452EC" w14:textId="2CEACF5C" w:rsidR="006A1E9C" w:rsidRPr="006A1E9C" w:rsidRDefault="006A1E9C" w:rsidP="006A1E9C">
      <w:pPr>
        <w:pStyle w:val="Listaszerbekezds"/>
        <w:numPr>
          <w:ilvl w:val="0"/>
          <w:numId w:val="6"/>
        </w:numPr>
        <w:jc w:val="both"/>
        <w:rPr>
          <w:rFonts w:ascii="Arial" w:hAnsi="Arial" w:cs="Arial"/>
          <w:lang w:val="en-GB"/>
        </w:rPr>
      </w:pPr>
      <w:r w:rsidRPr="006A1E9C">
        <w:rPr>
          <w:rFonts w:ascii="Arial" w:hAnsi="Arial" w:cs="Arial"/>
          <w:lang w:val="en-GB"/>
        </w:rPr>
        <w:t>Playing an active role in the community prior to the application deadline.</w:t>
      </w:r>
    </w:p>
    <w:p w14:paraId="320E1A00" w14:textId="0BE87905" w:rsidR="006A1E9C" w:rsidRPr="006A1E9C" w:rsidRDefault="006A1E9C" w:rsidP="006A1E9C">
      <w:pPr>
        <w:pStyle w:val="Listaszerbekezds"/>
        <w:numPr>
          <w:ilvl w:val="0"/>
          <w:numId w:val="6"/>
        </w:numPr>
        <w:spacing w:after="120"/>
        <w:jc w:val="both"/>
        <w:rPr>
          <w:rFonts w:ascii="Arial" w:hAnsi="Arial" w:cs="Arial"/>
          <w:lang w:val="en-GB"/>
        </w:rPr>
      </w:pPr>
      <w:r w:rsidRPr="006A1E9C">
        <w:rPr>
          <w:rFonts w:ascii="Arial" w:hAnsi="Arial" w:cs="Arial"/>
          <w:lang w:val="en-GB"/>
        </w:rPr>
        <w:t>Conducting research during tertiary studies prior to the application deadline.</w:t>
      </w:r>
    </w:p>
    <w:p w14:paraId="1117EC17" w14:textId="313ABF88" w:rsidR="00361FF4" w:rsidRPr="00F64DE0" w:rsidRDefault="006A1E9C" w:rsidP="00586C79">
      <w:pPr>
        <w:pStyle w:val="Listaszerbekezds"/>
        <w:numPr>
          <w:ilvl w:val="0"/>
          <w:numId w:val="6"/>
        </w:numPr>
        <w:spacing w:line="276" w:lineRule="auto"/>
        <w:contextualSpacing/>
        <w:jc w:val="both"/>
        <w:rPr>
          <w:rFonts w:ascii="Arial" w:hAnsi="Arial" w:cs="Arial"/>
          <w:lang w:val="en-GB"/>
        </w:rPr>
      </w:pPr>
      <w:r>
        <w:rPr>
          <w:rFonts w:ascii="Arial" w:hAnsi="Arial" w:cs="Arial"/>
          <w:lang w:val="en-GB"/>
        </w:rPr>
        <w:t xml:space="preserve">Letter of Acceptance issued by the host institution which includes </w:t>
      </w:r>
      <w:r>
        <w:rPr>
          <w:rFonts w:ascii="Arial" w:hAnsi="Arial" w:cs="Arial"/>
          <w:color w:val="000000"/>
          <w:lang w:val="en-GB"/>
        </w:rPr>
        <w:t>the most important professional goals and activities of the mobility period.</w:t>
      </w:r>
    </w:p>
    <w:p w14:paraId="5DC8E068" w14:textId="77777777" w:rsidR="00361FF4" w:rsidRPr="00F64DE0" w:rsidRDefault="00361FF4" w:rsidP="00946CAE">
      <w:pPr>
        <w:spacing w:line="276" w:lineRule="auto"/>
        <w:jc w:val="both"/>
        <w:rPr>
          <w:rFonts w:ascii="Arial" w:hAnsi="Arial" w:cs="Arial"/>
          <w:b/>
          <w:sz w:val="22"/>
          <w:szCs w:val="22"/>
          <w:lang w:val="en-GB"/>
        </w:rPr>
      </w:pPr>
      <w:r w:rsidRPr="00F64DE0">
        <w:rPr>
          <w:rFonts w:ascii="Arial" w:hAnsi="Arial" w:cs="Arial"/>
          <w:b/>
          <w:sz w:val="22"/>
          <w:szCs w:val="22"/>
          <w:lang w:val="en-GB"/>
        </w:rPr>
        <w:t>Procedure for evaluating applications</w:t>
      </w:r>
    </w:p>
    <w:p w14:paraId="7E55DC81" w14:textId="77777777" w:rsidR="00361FF4" w:rsidRPr="00F64DE0" w:rsidRDefault="00361FF4" w:rsidP="00946CAE">
      <w:pPr>
        <w:spacing w:line="276" w:lineRule="auto"/>
        <w:jc w:val="both"/>
        <w:rPr>
          <w:rFonts w:ascii="Arial" w:hAnsi="Arial" w:cs="Arial"/>
          <w:sz w:val="22"/>
          <w:szCs w:val="22"/>
          <w:lang w:val="en-GB"/>
        </w:rPr>
      </w:pPr>
    </w:p>
    <w:p w14:paraId="04199142" w14:textId="77777777" w:rsidR="007E3AF3" w:rsidRPr="00253E9F" w:rsidRDefault="007E3AF3" w:rsidP="007E3AF3">
      <w:pPr>
        <w:ind w:left="357" w:hanging="357"/>
        <w:jc w:val="both"/>
        <w:rPr>
          <w:rFonts w:ascii="Arial" w:hAnsi="Arial" w:cs="Arial"/>
          <w:color w:val="000000"/>
          <w:lang w:val="en-GB"/>
        </w:rPr>
      </w:pPr>
      <w:r w:rsidRPr="00253E9F">
        <w:rPr>
          <w:rFonts w:ascii="Arial" w:hAnsi="Arial" w:cs="Arial"/>
          <w:color w:val="000000"/>
          <w:lang w:val="en-GB"/>
        </w:rPr>
        <w:t>The ranking shall be based on the following.</w:t>
      </w:r>
    </w:p>
    <w:p w14:paraId="63E6449A"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C</w:t>
      </w:r>
      <w:r w:rsidRPr="00253E9F">
        <w:rPr>
          <w:rFonts w:ascii="Arial" w:hAnsi="Arial" w:cs="Arial"/>
          <w:lang w:val="en-GB"/>
        </w:rPr>
        <w:t>orrected credit index of the last accomplished semester.</w:t>
      </w:r>
    </w:p>
    <w:p w14:paraId="13E2A78F"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Elaboration of the motivational letter and of the work plan (a different motivational letter shall be submitted to each prospective host institution).</w:t>
      </w:r>
    </w:p>
    <w:p w14:paraId="7942C3BB"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 xml:space="preserve">Type and level of the submitted language exam certificate or the result of the hearing. </w:t>
      </w:r>
    </w:p>
    <w:p w14:paraId="115BD246" w14:textId="77777777" w:rsidR="007E3AF3" w:rsidRPr="00253E9F" w:rsidRDefault="007E3AF3" w:rsidP="007E3AF3">
      <w:pPr>
        <w:numPr>
          <w:ilvl w:val="0"/>
          <w:numId w:val="10"/>
        </w:numPr>
        <w:jc w:val="both"/>
        <w:rPr>
          <w:rFonts w:ascii="Arial" w:hAnsi="Arial" w:cs="Arial"/>
          <w:lang w:val="en-GB"/>
        </w:rPr>
      </w:pPr>
      <w:r w:rsidRPr="00253E9F">
        <w:rPr>
          <w:rFonts w:ascii="Arial" w:hAnsi="Arial" w:cs="Arial"/>
          <w:lang w:val="en-GB"/>
        </w:rPr>
        <w:t>Playing an active role in the community prior to the application deadline.</w:t>
      </w:r>
    </w:p>
    <w:p w14:paraId="0A9E8C4B"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Conducting research during tertiary studies prior to the application deadline.</w:t>
      </w:r>
    </w:p>
    <w:p w14:paraId="7F78C9F2"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Whether the applicant participated previously in a mobility activity or not.</w:t>
      </w:r>
    </w:p>
    <w:p w14:paraId="57E84BAA"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Undertaking promotional activities.</w:t>
      </w:r>
    </w:p>
    <w:p w14:paraId="05AB9141" w14:textId="77777777" w:rsidR="007E3AF3" w:rsidRPr="00253E9F" w:rsidRDefault="007E3AF3" w:rsidP="007E3AF3">
      <w:pPr>
        <w:numPr>
          <w:ilvl w:val="0"/>
          <w:numId w:val="10"/>
        </w:numPr>
        <w:spacing w:before="100" w:beforeAutospacing="1" w:after="100" w:afterAutospacing="1"/>
        <w:jc w:val="both"/>
        <w:rPr>
          <w:rFonts w:ascii="Arial" w:hAnsi="Arial" w:cs="Arial"/>
          <w:lang w:val="en-GB"/>
        </w:rPr>
      </w:pPr>
      <w:r w:rsidRPr="00253E9F">
        <w:rPr>
          <w:rFonts w:ascii="Arial" w:hAnsi="Arial" w:cs="Arial"/>
          <w:color w:val="000000"/>
          <w:lang w:val="en-GB"/>
        </w:rPr>
        <w:t>Each application may be awarded a maximum of 100 points broken down as follows:</w:t>
      </w:r>
    </w:p>
    <w:p w14:paraId="21F00B95" w14:textId="77777777" w:rsidR="007E3AF3" w:rsidRPr="00253E9F" w:rsidRDefault="007E3AF3" w:rsidP="007E3AF3">
      <w:pPr>
        <w:spacing w:before="100" w:beforeAutospacing="1" w:after="100" w:afterAutospacing="1"/>
        <w:ind w:left="360"/>
        <w:jc w:val="both"/>
        <w:rPr>
          <w:rFonts w:ascii="Arial" w:hAnsi="Arial" w:cs="Arial"/>
          <w:lang w:val="en-GB"/>
        </w:rPr>
      </w:pPr>
      <w:r>
        <w:rPr>
          <w:rFonts w:ascii="Arial" w:hAnsi="Arial" w:cs="Arial"/>
          <w:color w:val="000000"/>
          <w:lang w:val="en-GB"/>
        </w:rPr>
        <w:t>(8.1.)</w:t>
      </w:r>
      <w:r>
        <w:rPr>
          <w:rFonts w:ascii="Arial" w:hAnsi="Arial" w:cs="Arial"/>
          <w:color w:val="000000"/>
          <w:lang w:val="en-GB"/>
        </w:rPr>
        <w:tab/>
      </w:r>
      <w:r w:rsidRPr="00253E9F">
        <w:rPr>
          <w:rFonts w:ascii="Arial" w:hAnsi="Arial" w:cs="Arial"/>
          <w:color w:val="000000"/>
          <w:lang w:val="en-GB"/>
        </w:rPr>
        <w:t>Academic performance may be awarded a maximum of 50 points.</w:t>
      </w:r>
    </w:p>
    <w:p w14:paraId="10F929F9" w14:textId="77777777" w:rsidR="007E3AF3" w:rsidRPr="00253E9F" w:rsidRDefault="007E3AF3" w:rsidP="007E3AF3">
      <w:pPr>
        <w:jc w:val="both"/>
        <w:rPr>
          <w:rFonts w:ascii="Arial" w:hAnsi="Arial" w:cs="Arial"/>
          <w:color w:val="000000"/>
          <w:lang w:val="en-GB"/>
        </w:rPr>
      </w:pPr>
      <w:r w:rsidRPr="00253E9F">
        <w:rPr>
          <w:rFonts w:ascii="Arial" w:hAnsi="Arial" w:cs="Arial"/>
          <w:color w:val="000000"/>
          <w:lang w:val="en-GB"/>
        </w:rPr>
        <w:t>The grade points are calculated on the basis of the difference between the corrected credit index of the applicant’s last accomplished semester - in which he or she completed at least 15 credits - and of the cumulate corrected credit index of the particular major with the following equation:</w:t>
      </w:r>
    </w:p>
    <w:tbl>
      <w:tblPr>
        <w:tblW w:w="8647" w:type="dxa"/>
        <w:jc w:val="center"/>
        <w:tblCellMar>
          <w:left w:w="0" w:type="dxa"/>
          <w:right w:w="0" w:type="dxa"/>
        </w:tblCellMar>
        <w:tblLook w:val="04A0" w:firstRow="1" w:lastRow="0" w:firstColumn="1" w:lastColumn="0" w:noHBand="0" w:noVBand="1"/>
      </w:tblPr>
      <w:tblGrid>
        <w:gridCol w:w="713"/>
        <w:gridCol w:w="7934"/>
      </w:tblGrid>
      <w:tr w:rsidR="007E3AF3" w:rsidRPr="00253E9F" w14:paraId="02A85456" w14:textId="77777777" w:rsidTr="00F35794">
        <w:trPr>
          <w:jc w:val="center"/>
        </w:trPr>
        <w:tc>
          <w:tcPr>
            <w:tcW w:w="713" w:type="dxa"/>
            <w:vMerge w:val="restart"/>
            <w:tcMar>
              <w:top w:w="0" w:type="dxa"/>
              <w:left w:w="108" w:type="dxa"/>
              <w:bottom w:w="0" w:type="dxa"/>
              <w:right w:w="108" w:type="dxa"/>
            </w:tcMar>
            <w:vAlign w:val="center"/>
            <w:hideMark/>
          </w:tcPr>
          <w:p w14:paraId="41CBFCF0" w14:textId="77777777" w:rsidR="007E3AF3" w:rsidRPr="00253E9F" w:rsidRDefault="007E3AF3" w:rsidP="00F35794">
            <w:pPr>
              <w:jc w:val="both"/>
              <w:rPr>
                <w:rFonts w:ascii="Arial" w:eastAsia="Calibri" w:hAnsi="Arial" w:cs="Arial"/>
                <w:i/>
                <w:iCs/>
                <w:color w:val="000000"/>
                <w:lang w:val="en-GB" w:eastAsia="en-US"/>
              </w:rPr>
            </w:pPr>
            <w:r w:rsidRPr="00253E9F">
              <w:rPr>
                <w:rFonts w:ascii="Arial" w:hAnsi="Arial" w:cs="Arial"/>
                <w:lang w:val="en-GB" w:eastAsia="en-US"/>
              </w:rPr>
              <w:t>50 ×</w:t>
            </w:r>
          </w:p>
        </w:tc>
        <w:tc>
          <w:tcPr>
            <w:tcW w:w="7934" w:type="dxa"/>
            <w:tcBorders>
              <w:top w:val="nil"/>
              <w:left w:val="nil"/>
              <w:bottom w:val="single" w:sz="8" w:space="0" w:color="auto"/>
              <w:right w:val="nil"/>
            </w:tcBorders>
            <w:tcMar>
              <w:top w:w="0" w:type="dxa"/>
              <w:left w:w="108" w:type="dxa"/>
              <w:bottom w:w="0" w:type="dxa"/>
              <w:right w:w="108" w:type="dxa"/>
            </w:tcMar>
            <w:hideMark/>
          </w:tcPr>
          <w:p w14:paraId="49B367F7" w14:textId="77777777" w:rsidR="007E3AF3" w:rsidRPr="00253E9F" w:rsidRDefault="007E3AF3" w:rsidP="00F35794">
            <w:pPr>
              <w:jc w:val="center"/>
              <w:rPr>
                <w:rFonts w:ascii="Arial" w:eastAsia="Calibri" w:hAnsi="Arial" w:cs="Arial"/>
                <w:lang w:val="en-GB" w:eastAsia="en-US"/>
              </w:rPr>
            </w:pPr>
            <w:r w:rsidRPr="00253E9F">
              <w:rPr>
                <w:rFonts w:ascii="Arial" w:hAnsi="Arial" w:cs="Arial"/>
                <w:i/>
                <w:iCs/>
                <w:color w:val="000000"/>
                <w:lang w:val="en-GB" w:eastAsia="en-US"/>
              </w:rPr>
              <w:t>Applicant’s corrected credit index– Cumulate corrected credit index of the major/2</w:t>
            </w:r>
          </w:p>
        </w:tc>
      </w:tr>
      <w:tr w:rsidR="007E3AF3" w:rsidRPr="00253E9F" w14:paraId="0A4BFD4B" w14:textId="77777777" w:rsidTr="00F35794">
        <w:trPr>
          <w:jc w:val="center"/>
        </w:trPr>
        <w:tc>
          <w:tcPr>
            <w:tcW w:w="0" w:type="auto"/>
            <w:vMerge/>
            <w:vAlign w:val="center"/>
            <w:hideMark/>
          </w:tcPr>
          <w:p w14:paraId="0EB82669" w14:textId="77777777" w:rsidR="007E3AF3" w:rsidRPr="00253E9F" w:rsidRDefault="007E3AF3" w:rsidP="00F35794">
            <w:pPr>
              <w:rPr>
                <w:rFonts w:ascii="Arial" w:eastAsia="Calibri" w:hAnsi="Arial" w:cs="Arial"/>
                <w:i/>
                <w:iCs/>
                <w:color w:val="000000"/>
                <w:lang w:val="en-GB" w:eastAsia="en-US"/>
              </w:rPr>
            </w:pPr>
          </w:p>
        </w:tc>
        <w:tc>
          <w:tcPr>
            <w:tcW w:w="7934" w:type="dxa"/>
            <w:tcMar>
              <w:top w:w="0" w:type="dxa"/>
              <w:left w:w="108" w:type="dxa"/>
              <w:bottom w:w="0" w:type="dxa"/>
              <w:right w:w="108" w:type="dxa"/>
            </w:tcMar>
            <w:hideMark/>
          </w:tcPr>
          <w:p w14:paraId="49A64258" w14:textId="77777777" w:rsidR="007E3AF3" w:rsidRPr="00253E9F" w:rsidRDefault="007E3AF3" w:rsidP="00F35794">
            <w:pPr>
              <w:jc w:val="center"/>
              <w:rPr>
                <w:rFonts w:ascii="Arial" w:eastAsia="Calibri" w:hAnsi="Arial" w:cs="Arial"/>
                <w:lang w:val="en-GB" w:eastAsia="en-US"/>
              </w:rPr>
            </w:pPr>
            <w:r w:rsidRPr="00253E9F">
              <w:rPr>
                <w:rFonts w:ascii="Arial" w:hAnsi="Arial" w:cs="Arial"/>
                <w:i/>
                <w:iCs/>
                <w:color w:val="000000"/>
                <w:lang w:val="en-GB" w:eastAsia="en-US"/>
              </w:rPr>
              <w:t>Cumulate corrected credit index of the major</w:t>
            </w:r>
          </w:p>
        </w:tc>
      </w:tr>
    </w:tbl>
    <w:p w14:paraId="2040D920" w14:textId="77777777" w:rsidR="007E3AF3" w:rsidRPr="00253E9F" w:rsidRDefault="007E3AF3" w:rsidP="007E3AF3">
      <w:pPr>
        <w:tabs>
          <w:tab w:val="left" w:pos="1575"/>
        </w:tabs>
        <w:jc w:val="both"/>
        <w:rPr>
          <w:rFonts w:ascii="Arial" w:hAnsi="Arial" w:cs="Arial"/>
          <w:color w:val="000000"/>
          <w:lang w:val="en-GB"/>
        </w:rPr>
      </w:pPr>
      <w:r w:rsidRPr="00253E9F">
        <w:rPr>
          <w:rFonts w:ascii="Arial" w:hAnsi="Arial" w:cs="Arial"/>
          <w:color w:val="000000"/>
          <w:lang w:val="en-GB"/>
        </w:rPr>
        <w:t>rounded to a whole, but a maximum of 50 points.</w:t>
      </w:r>
    </w:p>
    <w:p w14:paraId="72D660E9" w14:textId="77777777" w:rsidR="007E3AF3" w:rsidRPr="00253E9F" w:rsidRDefault="007E3AF3" w:rsidP="007E3AF3">
      <w:pPr>
        <w:spacing w:before="100" w:beforeAutospacing="1" w:after="100" w:afterAutospacing="1"/>
        <w:ind w:left="360"/>
        <w:jc w:val="both"/>
        <w:rPr>
          <w:rFonts w:ascii="Arial" w:hAnsi="Arial" w:cs="Arial"/>
          <w:lang w:val="en-GB"/>
        </w:rPr>
      </w:pPr>
      <w:r w:rsidRPr="00253E9F">
        <w:rPr>
          <w:rFonts w:ascii="Arial" w:hAnsi="Arial" w:cs="Arial"/>
          <w:lang w:val="en-GB"/>
        </w:rPr>
        <w:t>(8.2.)</w:t>
      </w:r>
      <w:r w:rsidRPr="00253E9F">
        <w:rPr>
          <w:rFonts w:ascii="Arial" w:hAnsi="Arial" w:cs="Arial"/>
          <w:lang w:val="en-GB"/>
        </w:rPr>
        <w:tab/>
        <w:t>Motivational letter and work plan</w:t>
      </w:r>
    </w:p>
    <w:p w14:paraId="2550C501"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The motivational letter may be awarded a maximum of 50 points.</w:t>
      </w:r>
    </w:p>
    <w:p w14:paraId="26A282A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Breakdown of the motivational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396"/>
      </w:tblGrid>
      <w:tr w:rsidR="007E3AF3" w:rsidRPr="00253E9F" w14:paraId="36D1EA48" w14:textId="77777777" w:rsidTr="00F35794">
        <w:tc>
          <w:tcPr>
            <w:tcW w:w="1809" w:type="dxa"/>
            <w:shd w:val="clear" w:color="auto" w:fill="auto"/>
          </w:tcPr>
          <w:p w14:paraId="437BA2A7"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0 – 5 points</w:t>
            </w:r>
          </w:p>
        </w:tc>
        <w:tc>
          <w:tcPr>
            <w:tcW w:w="7403" w:type="dxa"/>
            <w:shd w:val="clear" w:color="auto" w:fill="auto"/>
          </w:tcPr>
          <w:p w14:paraId="791BB3E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The motivational letter contains nothing specific, no professional goals are set.</w:t>
            </w:r>
          </w:p>
        </w:tc>
      </w:tr>
      <w:tr w:rsidR="007E3AF3" w:rsidRPr="00253E9F" w14:paraId="7E84AC23" w14:textId="77777777" w:rsidTr="00F35794">
        <w:tc>
          <w:tcPr>
            <w:tcW w:w="1809" w:type="dxa"/>
            <w:shd w:val="clear" w:color="auto" w:fill="auto"/>
          </w:tcPr>
          <w:p w14:paraId="2E1590B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6-10 points</w:t>
            </w:r>
          </w:p>
        </w:tc>
        <w:tc>
          <w:tcPr>
            <w:tcW w:w="7403" w:type="dxa"/>
            <w:shd w:val="clear" w:color="auto" w:fill="auto"/>
          </w:tcPr>
          <w:p w14:paraId="0C5D9E0A"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The motivational letter is too general, remarkably few specifics and professional goals.</w:t>
            </w:r>
          </w:p>
        </w:tc>
      </w:tr>
      <w:tr w:rsidR="007E3AF3" w:rsidRPr="00253E9F" w14:paraId="2E2DACA7" w14:textId="77777777" w:rsidTr="00F35794">
        <w:tc>
          <w:tcPr>
            <w:tcW w:w="1809" w:type="dxa"/>
            <w:shd w:val="clear" w:color="auto" w:fill="auto"/>
          </w:tcPr>
          <w:p w14:paraId="42CCB7FF"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lastRenderedPageBreak/>
              <w:t>11-15 points</w:t>
            </w:r>
          </w:p>
        </w:tc>
        <w:tc>
          <w:tcPr>
            <w:tcW w:w="7403" w:type="dxa"/>
            <w:shd w:val="clear" w:color="auto" w:fill="auto"/>
          </w:tcPr>
          <w:p w14:paraId="42BB8016"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General professional and personal motivation, the work plan's goals are also mostly general but it contains at least some specifics (e.g. refers to activities and work tasks to accomplish).</w:t>
            </w:r>
          </w:p>
        </w:tc>
      </w:tr>
      <w:tr w:rsidR="007E3AF3" w:rsidRPr="00253E9F" w14:paraId="3D4F6336" w14:textId="77777777" w:rsidTr="00F35794">
        <w:tc>
          <w:tcPr>
            <w:tcW w:w="1809" w:type="dxa"/>
            <w:shd w:val="clear" w:color="auto" w:fill="auto"/>
          </w:tcPr>
          <w:p w14:paraId="2945424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16-20 points</w:t>
            </w:r>
          </w:p>
        </w:tc>
        <w:tc>
          <w:tcPr>
            <w:tcW w:w="7403" w:type="dxa"/>
            <w:shd w:val="clear" w:color="auto" w:fill="auto"/>
          </w:tcPr>
          <w:p w14:paraId="610CA62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Definite professional and personal motivation but still general goals and work plan.</w:t>
            </w:r>
          </w:p>
        </w:tc>
      </w:tr>
      <w:tr w:rsidR="007E3AF3" w:rsidRPr="00253E9F" w14:paraId="690E981A" w14:textId="77777777" w:rsidTr="00F35794">
        <w:tc>
          <w:tcPr>
            <w:tcW w:w="1809" w:type="dxa"/>
            <w:shd w:val="clear" w:color="auto" w:fill="auto"/>
          </w:tcPr>
          <w:p w14:paraId="299DF32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21-25 points</w:t>
            </w:r>
          </w:p>
        </w:tc>
        <w:tc>
          <w:tcPr>
            <w:tcW w:w="7403" w:type="dxa"/>
            <w:shd w:val="clear" w:color="auto" w:fill="auto"/>
          </w:tcPr>
          <w:p w14:paraId="2B86AFAF"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Well-thought-out, substantive motivation and work plan, quality writing, and professional goals; specific, promising application.</w:t>
            </w:r>
          </w:p>
        </w:tc>
      </w:tr>
      <w:tr w:rsidR="007E3AF3" w:rsidRPr="00253E9F" w14:paraId="00E77519" w14:textId="77777777" w:rsidTr="00F35794">
        <w:tc>
          <w:tcPr>
            <w:tcW w:w="1809" w:type="dxa"/>
            <w:shd w:val="clear" w:color="auto" w:fill="auto"/>
          </w:tcPr>
          <w:p w14:paraId="6FEDFAE1"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26-30 points</w:t>
            </w:r>
          </w:p>
        </w:tc>
        <w:tc>
          <w:tcPr>
            <w:tcW w:w="7403" w:type="dxa"/>
            <w:shd w:val="clear" w:color="auto" w:fill="auto"/>
          </w:tcPr>
          <w:p w14:paraId="17BE76FD"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Thoroughly well-thought-out, conclusive motivation and adequately specific professional goals in the work plan. In the case of doctoral students: research subject has not been researched earlier; innovative methodology; significant results are expected; notably noteworthy contribution to the scientific output and recognition of the Faculty; expected impact on the national or international level.</w:t>
            </w:r>
          </w:p>
        </w:tc>
      </w:tr>
    </w:tbl>
    <w:p w14:paraId="4A83E180"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(8.3.)</w:t>
      </w:r>
      <w:r w:rsidRPr="00253E9F">
        <w:rPr>
          <w:rFonts w:ascii="Arial" w:hAnsi="Arial" w:cs="Arial"/>
          <w:lang w:val="en-GB"/>
        </w:rPr>
        <w:tab/>
        <w:t>Language skills</w:t>
      </w:r>
    </w:p>
    <w:p w14:paraId="406EC5CA"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A maximum of 5 points shall come from the language exam certificate acquired in the tuition language of the host institutions. </w:t>
      </w:r>
    </w:p>
    <w:p w14:paraId="74A6B6F6"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Eligible language exam certificates are those accepted as a degree requirement at the time of application.</w:t>
      </w:r>
    </w:p>
    <w:p w14:paraId="3AC600B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Breakdown of the language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3147"/>
      </w:tblGrid>
      <w:tr w:rsidR="007E3AF3" w:rsidRPr="00253E9F" w14:paraId="3D7CD371" w14:textId="77777777" w:rsidTr="00F35794">
        <w:tc>
          <w:tcPr>
            <w:tcW w:w="6062" w:type="dxa"/>
          </w:tcPr>
          <w:p w14:paraId="591738C9" w14:textId="77777777" w:rsidR="007E3AF3" w:rsidRPr="00253E9F" w:rsidRDefault="007E3AF3" w:rsidP="00F35794">
            <w:pPr>
              <w:spacing w:before="100" w:beforeAutospacing="1" w:after="100" w:afterAutospacing="1"/>
              <w:jc w:val="both"/>
              <w:rPr>
                <w:rFonts w:ascii="Arial" w:hAnsi="Arial" w:cs="Arial"/>
                <w:i/>
                <w:lang w:val="en-GB"/>
              </w:rPr>
            </w:pPr>
            <w:r w:rsidRPr="00253E9F">
              <w:rPr>
                <w:rFonts w:ascii="Arial" w:hAnsi="Arial" w:cs="Arial"/>
                <w:i/>
                <w:lang w:val="en-GB"/>
              </w:rPr>
              <w:t>Exam level</w:t>
            </w:r>
          </w:p>
        </w:tc>
        <w:tc>
          <w:tcPr>
            <w:tcW w:w="3150" w:type="dxa"/>
          </w:tcPr>
          <w:p w14:paraId="6AEA66F6" w14:textId="77777777" w:rsidR="007E3AF3" w:rsidRPr="00253E9F" w:rsidRDefault="007E3AF3" w:rsidP="00F35794">
            <w:pPr>
              <w:spacing w:before="100" w:beforeAutospacing="1" w:after="100" w:afterAutospacing="1"/>
              <w:jc w:val="both"/>
              <w:rPr>
                <w:rFonts w:ascii="Arial" w:hAnsi="Arial" w:cs="Arial"/>
                <w:i/>
                <w:lang w:val="en-GB"/>
              </w:rPr>
            </w:pPr>
            <w:r w:rsidRPr="00253E9F">
              <w:rPr>
                <w:rFonts w:ascii="Arial" w:hAnsi="Arial" w:cs="Arial"/>
                <w:i/>
                <w:lang w:val="en-GB"/>
              </w:rPr>
              <w:t>Point(s)</w:t>
            </w:r>
          </w:p>
        </w:tc>
      </w:tr>
      <w:tr w:rsidR="007E3AF3" w:rsidRPr="00253E9F" w14:paraId="6B476E0D" w14:textId="77777777" w:rsidTr="00F35794">
        <w:tc>
          <w:tcPr>
            <w:tcW w:w="6062" w:type="dxa"/>
          </w:tcPr>
          <w:p w14:paraId="78C87B6D"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intermediate level, general, type C language exam </w:t>
            </w:r>
          </w:p>
        </w:tc>
        <w:tc>
          <w:tcPr>
            <w:tcW w:w="3150" w:type="dxa"/>
          </w:tcPr>
          <w:p w14:paraId="3E33FB96"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1</w:t>
            </w:r>
          </w:p>
        </w:tc>
      </w:tr>
      <w:tr w:rsidR="007E3AF3" w:rsidRPr="00253E9F" w14:paraId="5F98FA6A" w14:textId="77777777" w:rsidTr="00F35794">
        <w:tc>
          <w:tcPr>
            <w:tcW w:w="6062" w:type="dxa"/>
          </w:tcPr>
          <w:p w14:paraId="2E55CA4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intermediate level, professional, type C language exam</w:t>
            </w:r>
          </w:p>
        </w:tc>
        <w:tc>
          <w:tcPr>
            <w:tcW w:w="3150" w:type="dxa"/>
          </w:tcPr>
          <w:p w14:paraId="2C3DF2D1"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2</w:t>
            </w:r>
          </w:p>
        </w:tc>
      </w:tr>
      <w:tr w:rsidR="007E3AF3" w:rsidRPr="00253E9F" w14:paraId="39E96E6B" w14:textId="77777777" w:rsidTr="00F35794">
        <w:tc>
          <w:tcPr>
            <w:tcW w:w="6062" w:type="dxa"/>
          </w:tcPr>
          <w:p w14:paraId="0ACBA115"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Active student status of minimum 1.5 years on a foreign language programme of the Faculty or of any other institution of higher education (e.g. BABA or an equivalent BA degree obtained in English), which must be certified by three successfully accomplished semesters.</w:t>
            </w:r>
          </w:p>
        </w:tc>
        <w:tc>
          <w:tcPr>
            <w:tcW w:w="3150" w:type="dxa"/>
          </w:tcPr>
          <w:p w14:paraId="40EF5DA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2</w:t>
            </w:r>
          </w:p>
        </w:tc>
      </w:tr>
      <w:tr w:rsidR="007E3AF3" w:rsidRPr="00253E9F" w14:paraId="65B37002" w14:textId="77777777" w:rsidTr="00F35794">
        <w:tc>
          <w:tcPr>
            <w:tcW w:w="6062" w:type="dxa"/>
          </w:tcPr>
          <w:p w14:paraId="4B3DDE0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advanced level, general/professional, type C language exam </w:t>
            </w:r>
          </w:p>
        </w:tc>
        <w:tc>
          <w:tcPr>
            <w:tcW w:w="3150" w:type="dxa"/>
          </w:tcPr>
          <w:p w14:paraId="1F7BA69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5</w:t>
            </w:r>
          </w:p>
        </w:tc>
      </w:tr>
    </w:tbl>
    <w:p w14:paraId="2FDCE58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(8.4.)</w:t>
      </w:r>
      <w:r w:rsidRPr="00253E9F">
        <w:rPr>
          <w:rFonts w:ascii="Arial" w:hAnsi="Arial" w:cs="Arial"/>
          <w:lang w:val="en-GB"/>
        </w:rPr>
        <w:tab/>
        <w:t>Public life activity</w:t>
      </w:r>
    </w:p>
    <w:p w14:paraId="485F307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Public life activity may be awarded a maximum of 3 points.</w:t>
      </w:r>
    </w:p>
    <w:p w14:paraId="06D3CBD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 written certificate of the head of the referred organization shall be submitted with the application. If the certificate is to prove president/chairman/other leading position, the vice-president/chairman/secretary/etc. shall sign the certificate. No extra points shall be awarded for the positions automatically delegated in connection with the preferred position.</w:t>
      </w:r>
    </w:p>
    <w:p w14:paraId="06405CF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lastRenderedPageBreak/>
        <w:t>(8.5.)</w:t>
      </w:r>
      <w:r w:rsidRPr="00253E9F">
        <w:rPr>
          <w:rFonts w:ascii="Arial" w:hAnsi="Arial" w:cs="Arial"/>
          <w:lang w:val="en-GB"/>
        </w:rPr>
        <w:tab/>
        <w:t>Scientific activity</w:t>
      </w:r>
    </w:p>
    <w:p w14:paraId="6E3C13E0"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 maximum of 5 points may be awarded for scientific activities.</w:t>
      </w:r>
    </w:p>
    <w:p w14:paraId="11D35A89"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(8.6.)</w:t>
      </w:r>
      <w:r w:rsidRPr="00253E9F">
        <w:rPr>
          <w:rFonts w:ascii="Arial" w:hAnsi="Arial" w:cs="Arial"/>
          <w:lang w:val="en-GB"/>
        </w:rPr>
        <w:tab/>
        <w:t>Former mobility</w:t>
      </w:r>
    </w:p>
    <w:p w14:paraId="7444EB72"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5 points may be awarded for an applicant not having participated in a mobility activity on the given level of training before. If the student has participated in a mobility activity on the given level of training before, no mobility points shall be awarded.</w:t>
      </w:r>
    </w:p>
    <w:p w14:paraId="13095EAA"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(8.7.)</w:t>
      </w:r>
      <w:r w:rsidRPr="00253E9F">
        <w:rPr>
          <w:rFonts w:ascii="Arial" w:hAnsi="Arial" w:cs="Arial"/>
          <w:lang w:val="en-GB"/>
        </w:rPr>
        <w:tab/>
        <w:t>Promotional activity</w:t>
      </w:r>
    </w:p>
    <w:p w14:paraId="6981691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If the applicant undertakes to play an active role in the promotion of the Erasmus+ program during the mobility period and the following academic year, 2 points may be awarded. </w:t>
      </w:r>
    </w:p>
    <w:p w14:paraId="24AA50B5" w14:textId="77777777" w:rsidR="007E3AF3" w:rsidRPr="00253E9F" w:rsidRDefault="007E3AF3" w:rsidP="007E3AF3">
      <w:pPr>
        <w:jc w:val="both"/>
        <w:rPr>
          <w:rFonts w:ascii="Arial" w:hAnsi="Arial" w:cs="Arial"/>
          <w:lang w:val="en-GB"/>
        </w:rPr>
      </w:pPr>
      <w:r w:rsidRPr="00253E9F">
        <w:rPr>
          <w:rFonts w:ascii="Arial" w:hAnsi="Arial" w:cs="Arial"/>
          <w:lang w:val="en-GB"/>
        </w:rPr>
        <w:t xml:space="preserve">The promotional activity shall mean: </w:t>
      </w:r>
    </w:p>
    <w:p w14:paraId="34E6FB0F" w14:textId="77777777" w:rsidR="007E3AF3" w:rsidRPr="00253E9F" w:rsidRDefault="007E3AF3" w:rsidP="007E3AF3">
      <w:pPr>
        <w:jc w:val="both"/>
        <w:rPr>
          <w:rFonts w:ascii="Arial" w:hAnsi="Arial" w:cs="Arial"/>
          <w:lang w:val="en-GB"/>
        </w:rPr>
      </w:pPr>
      <w:r w:rsidRPr="00253E9F">
        <w:rPr>
          <w:rFonts w:ascii="Arial" w:hAnsi="Arial" w:cs="Arial"/>
          <w:lang w:val="en-GB"/>
        </w:rPr>
        <w:t>a) Uploading content via the online platform the Mobility and Scholar</w:t>
      </w:r>
      <w:r>
        <w:rPr>
          <w:rFonts w:ascii="Arial" w:hAnsi="Arial" w:cs="Arial"/>
          <w:lang w:val="en-GB"/>
        </w:rPr>
        <w:t>ships Office of the University.</w:t>
      </w:r>
    </w:p>
    <w:p w14:paraId="1C3A36FB" w14:textId="77777777" w:rsidR="007E3AF3" w:rsidRPr="00253E9F" w:rsidRDefault="007E3AF3" w:rsidP="007E3AF3">
      <w:pPr>
        <w:tabs>
          <w:tab w:val="left" w:pos="6570"/>
        </w:tabs>
        <w:jc w:val="both"/>
        <w:rPr>
          <w:rFonts w:ascii="Arial" w:hAnsi="Arial" w:cs="Arial"/>
          <w:lang w:val="en-GB"/>
        </w:rPr>
      </w:pPr>
      <w:r w:rsidRPr="00253E9F">
        <w:rPr>
          <w:rFonts w:ascii="Arial" w:hAnsi="Arial" w:cs="Arial"/>
          <w:lang w:val="en-GB"/>
        </w:rPr>
        <w:t>b) Active participation in events organized by the UP FBE.</w:t>
      </w:r>
    </w:p>
    <w:p w14:paraId="005C0E6F" w14:textId="77777777" w:rsidR="007E3AF3" w:rsidRPr="00253E9F" w:rsidRDefault="007E3AF3" w:rsidP="007E3AF3">
      <w:pPr>
        <w:spacing w:after="100" w:afterAutospacing="1"/>
        <w:jc w:val="both"/>
        <w:rPr>
          <w:rFonts w:ascii="Arial" w:hAnsi="Arial" w:cs="Arial"/>
          <w:lang w:val="en-GB"/>
        </w:rPr>
      </w:pPr>
      <w:r w:rsidRPr="00253E9F">
        <w:rPr>
          <w:rFonts w:ascii="Arial" w:hAnsi="Arial" w:cs="Arial"/>
          <w:lang w:val="en-GB"/>
        </w:rPr>
        <w:t>c) Active representation of the UP and the UP FBE at the events organized by the host institution.</w:t>
      </w:r>
    </w:p>
    <w:p w14:paraId="73C83EC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After a preliminary check of the content of the applications, a language interview may be conducted according to the Erasmus+ Regulation of the Faculty.</w:t>
      </w:r>
    </w:p>
    <w:p w14:paraId="641E0F2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Applications of students who did not participate in the Erasmus program earlier are preferred.</w:t>
      </w:r>
    </w:p>
    <w:p w14:paraId="72FBB0F9"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If you have questions, please contact the Faculty Erasmus+ Coordinator: </w:t>
      </w:r>
    </w:p>
    <w:p w14:paraId="3D7EF383" w14:textId="77777777" w:rsidR="003E5598" w:rsidRDefault="007E3AF3" w:rsidP="007E3AF3">
      <w:pPr>
        <w:pStyle w:val="NormlWeb"/>
        <w:spacing w:after="0" w:afterAutospacing="0"/>
        <w:rPr>
          <w:rFonts w:ascii="Arial" w:hAnsi="Arial" w:cs="Arial"/>
        </w:rPr>
      </w:pPr>
      <w:r w:rsidRPr="0087468B">
        <w:rPr>
          <w:rFonts w:ascii="Arial" w:hAnsi="Arial" w:cs="Arial"/>
          <w:b/>
        </w:rPr>
        <w:t xml:space="preserve">Ms. </w:t>
      </w:r>
      <w:r w:rsidR="003E5598" w:rsidRPr="0087468B">
        <w:rPr>
          <w:rFonts w:ascii="Arial" w:hAnsi="Arial" w:cs="Arial"/>
          <w:b/>
        </w:rPr>
        <w:t>Réka</w:t>
      </w:r>
      <w:r w:rsidRPr="0087468B">
        <w:rPr>
          <w:rFonts w:ascii="Arial" w:hAnsi="Arial" w:cs="Arial"/>
          <w:b/>
        </w:rPr>
        <w:t xml:space="preserve"> </w:t>
      </w:r>
      <w:r w:rsidR="003E5598" w:rsidRPr="0087468B">
        <w:rPr>
          <w:rFonts w:ascii="Arial" w:hAnsi="Arial" w:cs="Arial"/>
          <w:b/>
        </w:rPr>
        <w:t>Battyáni</w:t>
      </w:r>
      <w:r w:rsidR="003E5598" w:rsidRPr="0087468B">
        <w:rPr>
          <w:rFonts w:ascii="Arial" w:hAnsi="Arial" w:cs="Arial"/>
        </w:rPr>
        <w:br/>
      </w:r>
      <w:r w:rsidR="003E5598">
        <w:rPr>
          <w:rFonts w:ascii="Arial" w:hAnsi="Arial" w:cs="Arial"/>
        </w:rPr>
        <w:t>+36 72/501 599 /23165</w:t>
      </w:r>
    </w:p>
    <w:p w14:paraId="3CC13798" w14:textId="15ECEE4E" w:rsidR="007E3AF3" w:rsidRPr="00253E9F" w:rsidRDefault="004721C4" w:rsidP="007E3AF3">
      <w:pPr>
        <w:pStyle w:val="NormlWeb"/>
        <w:spacing w:after="0" w:afterAutospacing="0"/>
        <w:rPr>
          <w:rFonts w:ascii="Arial" w:hAnsi="Arial" w:cs="Arial"/>
        </w:rPr>
      </w:pPr>
      <w:hyperlink r:id="rId8" w:history="1">
        <w:r w:rsidR="003E5598" w:rsidRPr="00310C79">
          <w:rPr>
            <w:rStyle w:val="Hiperhivatkozs"/>
            <w:rFonts w:ascii="Arial" w:hAnsi="Arial" w:cs="Arial"/>
          </w:rPr>
          <w:t>battyani.reka@ktk.pte.hu</w:t>
        </w:r>
      </w:hyperlink>
      <w:r w:rsidR="003E5598" w:rsidRPr="00310C79">
        <w:rPr>
          <w:rFonts w:ascii="Arial" w:hAnsi="Arial" w:cs="Arial"/>
        </w:rPr>
        <w:t xml:space="preserve">  </w:t>
      </w:r>
      <w:r w:rsidR="007E3AF3" w:rsidRPr="00253E9F">
        <w:rPr>
          <w:rFonts w:ascii="Arial" w:hAnsi="Arial" w:cs="Arial"/>
        </w:rPr>
        <w:br/>
        <w:t>H-7622 Pécs, Rákóczi út 80. B 135.</w:t>
      </w:r>
    </w:p>
    <w:p w14:paraId="5B7E94DD" w14:textId="77777777" w:rsidR="007E3AF3" w:rsidRPr="00253E9F" w:rsidRDefault="007E3AF3" w:rsidP="007E3AF3">
      <w:pPr>
        <w:pStyle w:val="NormlWeb"/>
        <w:spacing w:before="0" w:beforeAutospacing="0"/>
        <w:rPr>
          <w:rFonts w:ascii="Arial" w:hAnsi="Arial" w:cs="Arial"/>
        </w:rPr>
      </w:pPr>
      <w:r w:rsidRPr="00253E9F">
        <w:rPr>
          <w:rFonts w:ascii="Arial" w:hAnsi="Arial" w:cs="Arial"/>
        </w:rPr>
        <w:t>Opening hours: Monday-Wednesday 14:00-15:30</w:t>
      </w:r>
    </w:p>
    <w:p w14:paraId="2221C98A" w14:textId="77777777" w:rsidR="007E3AF3" w:rsidRDefault="007E3AF3" w:rsidP="007E3AF3">
      <w:pPr>
        <w:pStyle w:val="NormlWeb"/>
        <w:rPr>
          <w:rFonts w:ascii="Arial" w:hAnsi="Arial" w:cs="Arial"/>
        </w:rPr>
      </w:pPr>
    </w:p>
    <w:p w14:paraId="053D7227" w14:textId="77777777" w:rsidR="007E3AF3" w:rsidRDefault="007E3AF3" w:rsidP="007E3AF3">
      <w:pPr>
        <w:pStyle w:val="NormlWeb"/>
        <w:rPr>
          <w:rFonts w:ascii="Arial" w:hAnsi="Arial" w:cs="Arial"/>
        </w:rPr>
      </w:pPr>
    </w:p>
    <w:p w14:paraId="361AC305" w14:textId="77777777" w:rsidR="007E3AF3" w:rsidRPr="00253E9F" w:rsidRDefault="007E3AF3" w:rsidP="007E3AF3">
      <w:pPr>
        <w:pStyle w:val="NormlWeb"/>
        <w:rPr>
          <w:rFonts w:ascii="Arial" w:hAnsi="Arial" w:cs="Arial"/>
        </w:rPr>
      </w:pPr>
    </w:p>
    <w:p w14:paraId="3BB86544" w14:textId="77777777" w:rsidR="007E3AF3" w:rsidRPr="00253E9F" w:rsidRDefault="007E3AF3" w:rsidP="007E3AF3">
      <w:pPr>
        <w:pStyle w:val="NormlWeb"/>
        <w:spacing w:after="0" w:afterAutospacing="0"/>
        <w:rPr>
          <w:rFonts w:ascii="Arial" w:hAnsi="Arial" w:cs="Arial"/>
        </w:rPr>
      </w:pPr>
      <w:r w:rsidRPr="00253E9F">
        <w:rPr>
          <w:rFonts w:ascii="Arial" w:hAnsi="Arial" w:cs="Arial"/>
        </w:rPr>
        <w:t>Dr Zoltán Schepp</w:t>
      </w:r>
    </w:p>
    <w:p w14:paraId="4C77CA11" w14:textId="70538ED5" w:rsidR="00C5657F" w:rsidRPr="002F4B6E" w:rsidRDefault="007E3AF3" w:rsidP="002F4B6E">
      <w:pPr>
        <w:pStyle w:val="NormlWeb"/>
        <w:spacing w:before="0" w:beforeAutospacing="0"/>
        <w:rPr>
          <w:rFonts w:ascii="Arial" w:hAnsi="Arial" w:cs="Arial"/>
        </w:rPr>
      </w:pPr>
      <w:r w:rsidRPr="00253E9F">
        <w:rPr>
          <w:rFonts w:ascii="Arial" w:hAnsi="Arial" w:cs="Arial"/>
        </w:rPr>
        <w:t>Dean</w:t>
      </w:r>
    </w:p>
    <w:sectPr w:rsidR="00C5657F" w:rsidRPr="002F4B6E" w:rsidSect="00EE3976">
      <w:headerReference w:type="default" r:id="rId9"/>
      <w:footerReference w:type="default" r:id="rId10"/>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7194" w14:textId="77777777" w:rsidR="00E26510" w:rsidRDefault="00E26510">
      <w:r>
        <w:separator/>
      </w:r>
    </w:p>
  </w:endnote>
  <w:endnote w:type="continuationSeparator" w:id="0">
    <w:p w14:paraId="53AB5104" w14:textId="77777777" w:rsidR="00E26510" w:rsidRDefault="00E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C540" w14:textId="77777777" w:rsidR="00E26510" w:rsidRDefault="001562B7">
    <w:pPr>
      <w:pStyle w:val="llb"/>
    </w:pPr>
    <w:r>
      <w:rPr>
        <w:noProof/>
        <w:sz w:val="20"/>
      </w:rPr>
      <mc:AlternateContent>
        <mc:Choice Requires="wps">
          <w:drawing>
            <wp:anchor distT="0" distB="0" distL="114300" distR="114300" simplePos="0" relativeHeight="251659776" behindDoc="0" locked="0" layoutInCell="0" allowOverlap="1" wp14:anchorId="45305C1F" wp14:editId="6B4AD871">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98D98" w14:textId="77777777" w:rsidR="00E26510" w:rsidRDefault="00E26510" w:rsidP="00031DA6"/>
                        <w:p w14:paraId="4949CC45" w14:textId="77777777" w:rsidR="00E26510" w:rsidRDefault="00E26510" w:rsidP="00031DA6"/>
                        <w:p w14:paraId="2F2E5AEB"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05C1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42C98D98" w14:textId="77777777" w:rsidR="00E26510" w:rsidRDefault="00E26510" w:rsidP="00031DA6"/>
                  <w:p w14:paraId="4949CC45" w14:textId="77777777" w:rsidR="00E26510" w:rsidRDefault="00E26510" w:rsidP="00031DA6"/>
                  <w:p w14:paraId="2F2E5AEB"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315E5652" wp14:editId="0B225797">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3F87007D" wp14:editId="392AA3F0">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D9097" w14:textId="77777777" w:rsidR="00E26510" w:rsidRDefault="00E26510">
                          <w:pPr>
                            <w:jc w:val="right"/>
                            <w:rPr>
                              <w:rFonts w:ascii="Optima" w:hAnsi="Optima"/>
                              <w:sz w:val="18"/>
                            </w:rPr>
                          </w:pPr>
                          <w:r>
                            <w:rPr>
                              <w:rFonts w:ascii="Optima" w:hAnsi="Optima"/>
                              <w:sz w:val="18"/>
                            </w:rPr>
                            <w:t>Cím</w:t>
                          </w:r>
                        </w:p>
                        <w:p w14:paraId="1A20920D"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007D"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067D9097" w14:textId="77777777" w:rsidR="00E26510" w:rsidRDefault="00E26510">
                    <w:pPr>
                      <w:jc w:val="right"/>
                      <w:rPr>
                        <w:rFonts w:ascii="Optima" w:hAnsi="Optima"/>
                        <w:sz w:val="18"/>
                      </w:rPr>
                    </w:pPr>
                    <w:r>
                      <w:rPr>
                        <w:rFonts w:ascii="Optima" w:hAnsi="Optima"/>
                        <w:sz w:val="18"/>
                      </w:rPr>
                      <w:t>Cím</w:t>
                    </w:r>
                  </w:p>
                  <w:p w14:paraId="1A20920D"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053C" w14:textId="77777777" w:rsidR="00E26510" w:rsidRDefault="00E26510">
      <w:r>
        <w:separator/>
      </w:r>
    </w:p>
  </w:footnote>
  <w:footnote w:type="continuationSeparator" w:id="0">
    <w:p w14:paraId="0D0C43F9" w14:textId="77777777" w:rsidR="00E26510" w:rsidRDefault="00E2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3902" w14:textId="77777777" w:rsidR="00E26510" w:rsidRDefault="001562B7">
    <w:pPr>
      <w:pStyle w:val="lfej"/>
    </w:pPr>
    <w:r>
      <w:rPr>
        <w:noProof/>
        <w:sz w:val="20"/>
      </w:rPr>
      <mc:AlternateContent>
        <mc:Choice Requires="wps">
          <w:drawing>
            <wp:anchor distT="0" distB="0" distL="114300" distR="114300" simplePos="0" relativeHeight="251656704" behindDoc="0" locked="0" layoutInCell="0" allowOverlap="1" wp14:anchorId="22815386" wp14:editId="566E088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F093"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5386"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33DFF093"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64B175C" wp14:editId="19CC1438">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9D416B"/>
    <w:multiLevelType w:val="hybridMultilevel"/>
    <w:tmpl w:val="1E8C368C"/>
    <w:lvl w:ilvl="0" w:tplc="040E0001">
      <w:start w:val="1"/>
      <w:numFmt w:val="bullet"/>
      <w:lvlText w:val=""/>
      <w:lvlJc w:val="left"/>
      <w:pPr>
        <w:ind w:left="720" w:hanging="360"/>
      </w:pPr>
      <w:rPr>
        <w:rFonts w:ascii="Symbol" w:hAnsi="Symbol" w:hint="default"/>
      </w:rPr>
    </w:lvl>
    <w:lvl w:ilvl="1" w:tplc="040E0011">
      <w:start w:val="1"/>
      <w:numFmt w:val="decimal"/>
      <w:lvlText w:val="%2)"/>
      <w:lvlJc w:val="left"/>
      <w:pPr>
        <w:ind w:left="1440" w:hanging="360"/>
      </w:pPr>
      <w:rPr>
        <w:rFonts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CE6D5D"/>
    <w:multiLevelType w:val="hybridMultilevel"/>
    <w:tmpl w:val="D6AACCCE"/>
    <w:lvl w:ilvl="0" w:tplc="087600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15:restartNumberingAfterBreak="0">
    <w:nsid w:val="47524915"/>
    <w:multiLevelType w:val="multilevel"/>
    <w:tmpl w:val="CB2E2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5F1614"/>
    <w:multiLevelType w:val="multilevel"/>
    <w:tmpl w:val="725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E7AE0"/>
    <w:multiLevelType w:val="hybridMultilevel"/>
    <w:tmpl w:val="8AEAD1BE"/>
    <w:lvl w:ilvl="0" w:tplc="B9D6C324">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4F5ED1"/>
    <w:multiLevelType w:val="hybridMultilevel"/>
    <w:tmpl w:val="F3B03BC6"/>
    <w:lvl w:ilvl="0" w:tplc="B22A6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abstractNumId w:val="4"/>
  </w:num>
  <w:num w:numId="4">
    <w:abstractNumId w:val="3"/>
  </w:num>
  <w:num w:numId="5">
    <w:abstractNumId w:val="6"/>
  </w:num>
  <w:num w:numId="6">
    <w:abstractNumId w:val="2"/>
  </w:num>
  <w:num w:numId="7">
    <w:abstractNumId w:val="8"/>
  </w:num>
  <w:num w:numId="8">
    <w:abstractNumId w:val="7"/>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tjC3NLc0tjQ1tjBR0lEKTi0uzszPAykwrAUAA75xiSwAAAA="/>
  </w:docVars>
  <w:rsids>
    <w:rsidRoot w:val="00025E04"/>
    <w:rsid w:val="0000194F"/>
    <w:rsid w:val="00002BB9"/>
    <w:rsid w:val="00010419"/>
    <w:rsid w:val="000111B1"/>
    <w:rsid w:val="0001435C"/>
    <w:rsid w:val="000153D8"/>
    <w:rsid w:val="000208CA"/>
    <w:rsid w:val="000210FE"/>
    <w:rsid w:val="000217DB"/>
    <w:rsid w:val="0002415C"/>
    <w:rsid w:val="00025E04"/>
    <w:rsid w:val="0002698B"/>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7D"/>
    <w:rsid w:val="000E3145"/>
    <w:rsid w:val="000E5062"/>
    <w:rsid w:val="000E6952"/>
    <w:rsid w:val="000F1F79"/>
    <w:rsid w:val="000F46D6"/>
    <w:rsid w:val="000F4A6F"/>
    <w:rsid w:val="000F522D"/>
    <w:rsid w:val="000F6112"/>
    <w:rsid w:val="00103E4D"/>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5B99"/>
    <w:rsid w:val="00147200"/>
    <w:rsid w:val="001475DA"/>
    <w:rsid w:val="001531C5"/>
    <w:rsid w:val="001562B7"/>
    <w:rsid w:val="001615A6"/>
    <w:rsid w:val="0016206B"/>
    <w:rsid w:val="001655B4"/>
    <w:rsid w:val="00170273"/>
    <w:rsid w:val="001718C3"/>
    <w:rsid w:val="00173AB4"/>
    <w:rsid w:val="001742A2"/>
    <w:rsid w:val="0017562D"/>
    <w:rsid w:val="0017596D"/>
    <w:rsid w:val="0018188F"/>
    <w:rsid w:val="00183ADF"/>
    <w:rsid w:val="00186434"/>
    <w:rsid w:val="0018655D"/>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74D"/>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76D48"/>
    <w:rsid w:val="002864E3"/>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432B"/>
    <w:rsid w:val="002C43E9"/>
    <w:rsid w:val="002C597A"/>
    <w:rsid w:val="002C7894"/>
    <w:rsid w:val="002D21D7"/>
    <w:rsid w:val="002D279A"/>
    <w:rsid w:val="002D2B27"/>
    <w:rsid w:val="002D2D77"/>
    <w:rsid w:val="002D3C6E"/>
    <w:rsid w:val="002D6419"/>
    <w:rsid w:val="002F4B6E"/>
    <w:rsid w:val="0030051A"/>
    <w:rsid w:val="00302F26"/>
    <w:rsid w:val="00304A39"/>
    <w:rsid w:val="00304A6D"/>
    <w:rsid w:val="00306BBE"/>
    <w:rsid w:val="003105D1"/>
    <w:rsid w:val="00316001"/>
    <w:rsid w:val="003164A2"/>
    <w:rsid w:val="00316F3B"/>
    <w:rsid w:val="00320A7A"/>
    <w:rsid w:val="00325E44"/>
    <w:rsid w:val="00330708"/>
    <w:rsid w:val="00331ACF"/>
    <w:rsid w:val="0033255D"/>
    <w:rsid w:val="00333C8A"/>
    <w:rsid w:val="0034085C"/>
    <w:rsid w:val="003413B2"/>
    <w:rsid w:val="00341AE7"/>
    <w:rsid w:val="00346848"/>
    <w:rsid w:val="00346CCC"/>
    <w:rsid w:val="00347307"/>
    <w:rsid w:val="00351E2E"/>
    <w:rsid w:val="003543C4"/>
    <w:rsid w:val="003566A1"/>
    <w:rsid w:val="00361FF4"/>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0400"/>
    <w:rsid w:val="003A5079"/>
    <w:rsid w:val="003A575D"/>
    <w:rsid w:val="003B1184"/>
    <w:rsid w:val="003B3728"/>
    <w:rsid w:val="003B3FC5"/>
    <w:rsid w:val="003D3A00"/>
    <w:rsid w:val="003D66D7"/>
    <w:rsid w:val="003D7888"/>
    <w:rsid w:val="003E0575"/>
    <w:rsid w:val="003E3482"/>
    <w:rsid w:val="003E3C8B"/>
    <w:rsid w:val="003E4E98"/>
    <w:rsid w:val="003E4F61"/>
    <w:rsid w:val="003E5598"/>
    <w:rsid w:val="003E5B14"/>
    <w:rsid w:val="003F0636"/>
    <w:rsid w:val="003F7785"/>
    <w:rsid w:val="003F7FB4"/>
    <w:rsid w:val="00401147"/>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2934"/>
    <w:rsid w:val="00452EAE"/>
    <w:rsid w:val="00454145"/>
    <w:rsid w:val="0045424C"/>
    <w:rsid w:val="004545B6"/>
    <w:rsid w:val="004561A6"/>
    <w:rsid w:val="00464859"/>
    <w:rsid w:val="00464F18"/>
    <w:rsid w:val="00470C1A"/>
    <w:rsid w:val="00471F5E"/>
    <w:rsid w:val="004721C4"/>
    <w:rsid w:val="00472C48"/>
    <w:rsid w:val="00475B4C"/>
    <w:rsid w:val="00476714"/>
    <w:rsid w:val="00481620"/>
    <w:rsid w:val="004839D9"/>
    <w:rsid w:val="0048472B"/>
    <w:rsid w:val="00486DD5"/>
    <w:rsid w:val="00495563"/>
    <w:rsid w:val="00495CD0"/>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6C79"/>
    <w:rsid w:val="00587BD3"/>
    <w:rsid w:val="00591B03"/>
    <w:rsid w:val="0059746A"/>
    <w:rsid w:val="00597D2D"/>
    <w:rsid w:val="005A1ADD"/>
    <w:rsid w:val="005A31D8"/>
    <w:rsid w:val="005A6197"/>
    <w:rsid w:val="005B1405"/>
    <w:rsid w:val="005B56B1"/>
    <w:rsid w:val="005C58D5"/>
    <w:rsid w:val="005D0C37"/>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050C"/>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0AD1"/>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1E9C"/>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16B0"/>
    <w:rsid w:val="0073261C"/>
    <w:rsid w:val="00732D9C"/>
    <w:rsid w:val="00733E92"/>
    <w:rsid w:val="0073451E"/>
    <w:rsid w:val="007418C1"/>
    <w:rsid w:val="00742449"/>
    <w:rsid w:val="00744B27"/>
    <w:rsid w:val="00746ED2"/>
    <w:rsid w:val="0074718C"/>
    <w:rsid w:val="007512F3"/>
    <w:rsid w:val="00752ED5"/>
    <w:rsid w:val="00755314"/>
    <w:rsid w:val="00757BC7"/>
    <w:rsid w:val="007607F6"/>
    <w:rsid w:val="007617EB"/>
    <w:rsid w:val="00761E50"/>
    <w:rsid w:val="0076630F"/>
    <w:rsid w:val="00767E89"/>
    <w:rsid w:val="007707DD"/>
    <w:rsid w:val="00772452"/>
    <w:rsid w:val="0077329D"/>
    <w:rsid w:val="00785EA8"/>
    <w:rsid w:val="0078624B"/>
    <w:rsid w:val="00787743"/>
    <w:rsid w:val="007923C1"/>
    <w:rsid w:val="00795ED7"/>
    <w:rsid w:val="0079763C"/>
    <w:rsid w:val="007A04AD"/>
    <w:rsid w:val="007A5E40"/>
    <w:rsid w:val="007A70DE"/>
    <w:rsid w:val="007A7EF5"/>
    <w:rsid w:val="007B1BAF"/>
    <w:rsid w:val="007B2157"/>
    <w:rsid w:val="007B2D92"/>
    <w:rsid w:val="007B7EB4"/>
    <w:rsid w:val="007C22AD"/>
    <w:rsid w:val="007C262A"/>
    <w:rsid w:val="007C680C"/>
    <w:rsid w:val="007C6D5C"/>
    <w:rsid w:val="007C728D"/>
    <w:rsid w:val="007D29C9"/>
    <w:rsid w:val="007D3B84"/>
    <w:rsid w:val="007D4AFA"/>
    <w:rsid w:val="007D7D23"/>
    <w:rsid w:val="007E3AF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2514"/>
    <w:rsid w:val="00853216"/>
    <w:rsid w:val="00854238"/>
    <w:rsid w:val="00855738"/>
    <w:rsid w:val="008573A4"/>
    <w:rsid w:val="00860571"/>
    <w:rsid w:val="00860858"/>
    <w:rsid w:val="00860F62"/>
    <w:rsid w:val="00861A0A"/>
    <w:rsid w:val="0086285A"/>
    <w:rsid w:val="00867905"/>
    <w:rsid w:val="00867918"/>
    <w:rsid w:val="00867A1C"/>
    <w:rsid w:val="0087468B"/>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2ED9"/>
    <w:rsid w:val="009142A1"/>
    <w:rsid w:val="0091575B"/>
    <w:rsid w:val="0092240D"/>
    <w:rsid w:val="00922A59"/>
    <w:rsid w:val="00923264"/>
    <w:rsid w:val="00926A22"/>
    <w:rsid w:val="00927D2F"/>
    <w:rsid w:val="009302DF"/>
    <w:rsid w:val="00931E7C"/>
    <w:rsid w:val="00936159"/>
    <w:rsid w:val="00937136"/>
    <w:rsid w:val="00946CAE"/>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65E0C"/>
    <w:rsid w:val="00A67457"/>
    <w:rsid w:val="00A73551"/>
    <w:rsid w:val="00A73DD6"/>
    <w:rsid w:val="00A75224"/>
    <w:rsid w:val="00A76ED4"/>
    <w:rsid w:val="00A778A1"/>
    <w:rsid w:val="00A82B22"/>
    <w:rsid w:val="00A83D4B"/>
    <w:rsid w:val="00A848D8"/>
    <w:rsid w:val="00A854CC"/>
    <w:rsid w:val="00A95554"/>
    <w:rsid w:val="00A97FB6"/>
    <w:rsid w:val="00AA0AB9"/>
    <w:rsid w:val="00AA1D72"/>
    <w:rsid w:val="00AA2060"/>
    <w:rsid w:val="00AA2751"/>
    <w:rsid w:val="00AA5A84"/>
    <w:rsid w:val="00AB05E3"/>
    <w:rsid w:val="00AB0EA0"/>
    <w:rsid w:val="00AB1119"/>
    <w:rsid w:val="00AB14AD"/>
    <w:rsid w:val="00AB1F8E"/>
    <w:rsid w:val="00AB2574"/>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35F3"/>
    <w:rsid w:val="00B16EE9"/>
    <w:rsid w:val="00B21410"/>
    <w:rsid w:val="00B22D4D"/>
    <w:rsid w:val="00B2607E"/>
    <w:rsid w:val="00B30547"/>
    <w:rsid w:val="00B33AF5"/>
    <w:rsid w:val="00B36F55"/>
    <w:rsid w:val="00B37042"/>
    <w:rsid w:val="00B40486"/>
    <w:rsid w:val="00B41E49"/>
    <w:rsid w:val="00B438B3"/>
    <w:rsid w:val="00B4436A"/>
    <w:rsid w:val="00B472D9"/>
    <w:rsid w:val="00B47A2B"/>
    <w:rsid w:val="00B521FC"/>
    <w:rsid w:val="00B5305A"/>
    <w:rsid w:val="00B55211"/>
    <w:rsid w:val="00B55F8E"/>
    <w:rsid w:val="00B57339"/>
    <w:rsid w:val="00B57C97"/>
    <w:rsid w:val="00B57DE1"/>
    <w:rsid w:val="00B60368"/>
    <w:rsid w:val="00B6370F"/>
    <w:rsid w:val="00B64682"/>
    <w:rsid w:val="00B64DCC"/>
    <w:rsid w:val="00B7078B"/>
    <w:rsid w:val="00B71906"/>
    <w:rsid w:val="00B72CFE"/>
    <w:rsid w:val="00B75823"/>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88C"/>
    <w:rsid w:val="00C1191B"/>
    <w:rsid w:val="00C16BA6"/>
    <w:rsid w:val="00C207B3"/>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5657F"/>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E265D"/>
    <w:rsid w:val="00CE5CDE"/>
    <w:rsid w:val="00CE6388"/>
    <w:rsid w:val="00CE678F"/>
    <w:rsid w:val="00CE7DFE"/>
    <w:rsid w:val="00CF2BE8"/>
    <w:rsid w:val="00CF6066"/>
    <w:rsid w:val="00D00D65"/>
    <w:rsid w:val="00D03175"/>
    <w:rsid w:val="00D03FC8"/>
    <w:rsid w:val="00D04475"/>
    <w:rsid w:val="00D0481D"/>
    <w:rsid w:val="00D05352"/>
    <w:rsid w:val="00D07670"/>
    <w:rsid w:val="00D07F66"/>
    <w:rsid w:val="00D1131A"/>
    <w:rsid w:val="00D12EED"/>
    <w:rsid w:val="00D16416"/>
    <w:rsid w:val="00D20CC2"/>
    <w:rsid w:val="00D22037"/>
    <w:rsid w:val="00D247B5"/>
    <w:rsid w:val="00D26FB0"/>
    <w:rsid w:val="00D2770E"/>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0B6"/>
    <w:rsid w:val="00D94AEC"/>
    <w:rsid w:val="00D9517C"/>
    <w:rsid w:val="00D95CEA"/>
    <w:rsid w:val="00D96041"/>
    <w:rsid w:val="00DA3F13"/>
    <w:rsid w:val="00DA3FD2"/>
    <w:rsid w:val="00DA4176"/>
    <w:rsid w:val="00DB0EB5"/>
    <w:rsid w:val="00DB5792"/>
    <w:rsid w:val="00DB63C5"/>
    <w:rsid w:val="00DC1365"/>
    <w:rsid w:val="00DC1E22"/>
    <w:rsid w:val="00DC6CA8"/>
    <w:rsid w:val="00DD03AD"/>
    <w:rsid w:val="00DD0C2D"/>
    <w:rsid w:val="00DD38BF"/>
    <w:rsid w:val="00DE0FEB"/>
    <w:rsid w:val="00DE295D"/>
    <w:rsid w:val="00DE6CA1"/>
    <w:rsid w:val="00DF5D07"/>
    <w:rsid w:val="00E00C94"/>
    <w:rsid w:val="00E03812"/>
    <w:rsid w:val="00E03D9B"/>
    <w:rsid w:val="00E105A1"/>
    <w:rsid w:val="00E133E8"/>
    <w:rsid w:val="00E1404F"/>
    <w:rsid w:val="00E1496C"/>
    <w:rsid w:val="00E14D41"/>
    <w:rsid w:val="00E162D5"/>
    <w:rsid w:val="00E20101"/>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86506"/>
    <w:rsid w:val="00E86696"/>
    <w:rsid w:val="00E90AFE"/>
    <w:rsid w:val="00E9443C"/>
    <w:rsid w:val="00EA22F1"/>
    <w:rsid w:val="00EA2457"/>
    <w:rsid w:val="00EA3921"/>
    <w:rsid w:val="00EA691D"/>
    <w:rsid w:val="00EA761A"/>
    <w:rsid w:val="00EB0B62"/>
    <w:rsid w:val="00EB12FA"/>
    <w:rsid w:val="00EB1EB7"/>
    <w:rsid w:val="00EB2EB7"/>
    <w:rsid w:val="00EB3F34"/>
    <w:rsid w:val="00ED3549"/>
    <w:rsid w:val="00ED4B5B"/>
    <w:rsid w:val="00ED5875"/>
    <w:rsid w:val="00ED589F"/>
    <w:rsid w:val="00ED6F63"/>
    <w:rsid w:val="00EE3976"/>
    <w:rsid w:val="00EE4589"/>
    <w:rsid w:val="00EE61A3"/>
    <w:rsid w:val="00EF00D3"/>
    <w:rsid w:val="00EF32B1"/>
    <w:rsid w:val="00EF5D73"/>
    <w:rsid w:val="00EF6897"/>
    <w:rsid w:val="00EF744B"/>
    <w:rsid w:val="00F01D5A"/>
    <w:rsid w:val="00F056E3"/>
    <w:rsid w:val="00F06C6A"/>
    <w:rsid w:val="00F074FE"/>
    <w:rsid w:val="00F11156"/>
    <w:rsid w:val="00F14660"/>
    <w:rsid w:val="00F17D3A"/>
    <w:rsid w:val="00F26000"/>
    <w:rsid w:val="00F26A74"/>
    <w:rsid w:val="00F276FB"/>
    <w:rsid w:val="00F308EB"/>
    <w:rsid w:val="00F30CC1"/>
    <w:rsid w:val="00F345F1"/>
    <w:rsid w:val="00F34CF2"/>
    <w:rsid w:val="00F37227"/>
    <w:rsid w:val="00F403AB"/>
    <w:rsid w:val="00F4237D"/>
    <w:rsid w:val="00F4403C"/>
    <w:rsid w:val="00F45640"/>
    <w:rsid w:val="00F47ED9"/>
    <w:rsid w:val="00F500C4"/>
    <w:rsid w:val="00F55552"/>
    <w:rsid w:val="00F56030"/>
    <w:rsid w:val="00F608FD"/>
    <w:rsid w:val="00F63C8F"/>
    <w:rsid w:val="00F64DE0"/>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486C961"/>
  <w15:docId w15:val="{5F7CE64B-F93E-4B8F-A090-84F71A97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rsid w:val="009004E8"/>
    <w:rPr>
      <w:sz w:val="16"/>
      <w:szCs w:val="16"/>
    </w:rPr>
  </w:style>
  <w:style w:type="paragraph" w:styleId="Jegyzetszveg">
    <w:name w:val="annotation text"/>
    <w:basedOn w:val="Norml"/>
    <w:link w:val="JegyzetszvegChar"/>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4"/>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 w:type="paragraph" w:styleId="NormlWeb">
    <w:name w:val="Normal (Web)"/>
    <w:basedOn w:val="Norml"/>
    <w:uiPriority w:val="99"/>
    <w:rsid w:val="00C5657F"/>
    <w:pPr>
      <w:spacing w:before="100" w:beforeAutospacing="1" w:after="100" w:afterAutospacing="1"/>
    </w:pPr>
    <w:rPr>
      <w:szCs w:val="24"/>
    </w:rPr>
  </w:style>
  <w:style w:type="character" w:customStyle="1" w:styleId="JegyzetszvegChar">
    <w:name w:val="Jegyzetszöveg Char"/>
    <w:basedOn w:val="Bekezdsalapbettpusa"/>
    <w:link w:val="Jegyzetszveg"/>
    <w:rsid w:val="00276D48"/>
    <w:rPr>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335954782">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tyani.reka@ktk.p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C3A4-BE20-4C9C-BEE2-20FF4228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1941</Words>
  <Characters>10718</Characters>
  <Application>Microsoft Office Word</Application>
  <DocSecurity>0</DocSecurity>
  <Lines>89</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12634</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10</cp:revision>
  <cp:lastPrinted>2014-02-17T07:51:00Z</cp:lastPrinted>
  <dcterms:created xsi:type="dcterms:W3CDTF">2019-02-12T12:08:00Z</dcterms:created>
  <dcterms:modified xsi:type="dcterms:W3CDTF">2021-01-14T13:03:00Z</dcterms:modified>
</cp:coreProperties>
</file>